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992" w:rsidRDefault="009A5D61" w:rsidP="009A5D61">
      <w:pPr>
        <w:rPr>
          <w:rFonts w:ascii="Times New Roman" w:hAnsi="Times New Roman" w:cs="Times New Roman"/>
        </w:rPr>
      </w:pPr>
      <w:r>
        <w:rPr>
          <w:noProof/>
        </w:rPr>
        <w:drawing>
          <wp:inline distT="0" distB="0" distL="0" distR="0" wp14:anchorId="39808D6F" wp14:editId="13BEB71D">
            <wp:extent cx="6210300" cy="1561465"/>
            <wp:effectExtent l="0" t="0" r="0" b="635"/>
            <wp:docPr id="5" name="Resim 5"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UPR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1561465"/>
                    </a:xfrm>
                    <a:prstGeom prst="rect">
                      <a:avLst/>
                    </a:prstGeom>
                  </pic:spPr>
                </pic:pic>
              </a:graphicData>
            </a:graphic>
          </wp:inline>
        </w:drawing>
      </w:r>
    </w:p>
    <w:p w:rsidR="007158C6" w:rsidRDefault="007158C6" w:rsidP="009A5D61">
      <w:pPr>
        <w:rPr>
          <w:rFonts w:ascii="Times New Roman" w:hAnsi="Times New Roman" w:cs="Times New Roman"/>
        </w:rPr>
      </w:pPr>
    </w:p>
    <w:p w:rsidR="0003421E" w:rsidRDefault="0003421E" w:rsidP="0003421E">
      <w:pPr>
        <w:pStyle w:val="KonuBal"/>
      </w:pPr>
      <w:r>
        <w:t>MEDYA VE İFADE ÖZGÜRLÜĞÜ</w:t>
      </w:r>
    </w:p>
    <w:p w:rsidR="0003421E" w:rsidRDefault="0003421E" w:rsidP="0003421E"/>
    <w:p w:rsidR="0003421E" w:rsidRPr="00067AA0" w:rsidRDefault="0003421E" w:rsidP="00067AA0">
      <w:pPr>
        <w:pStyle w:val="Balk2"/>
      </w:pPr>
      <w:r w:rsidRPr="00067AA0">
        <w:t xml:space="preserve">Medya ve </w:t>
      </w:r>
      <w:r w:rsidR="003362EF">
        <w:t>İ</w:t>
      </w:r>
      <w:r w:rsidRPr="00067AA0">
        <w:t xml:space="preserve">fade </w:t>
      </w:r>
      <w:r w:rsidR="003362EF">
        <w:t>Ö</w:t>
      </w:r>
      <w:r w:rsidRPr="00067AA0">
        <w:t>zgürlüğü konusunda verilen tavsiyeler</w:t>
      </w:r>
    </w:p>
    <w:p w:rsidR="00B602EF" w:rsidRDefault="00E11468" w:rsidP="00E11468">
      <w:pPr>
        <w:rPr>
          <w:lang w:eastAsia="tr-TR"/>
        </w:rPr>
      </w:pPr>
      <w:r>
        <w:rPr>
          <w:lang w:eastAsia="tr-TR"/>
        </w:rPr>
        <w:t xml:space="preserve">Evrensel Periyodik İnceleme mekanizması tarafından 2015 yılında medya ve ifade özgürlüğü alanında verilen tavsiye sayısı </w:t>
      </w:r>
      <w:r w:rsidR="003362EF">
        <w:rPr>
          <w:lang w:eastAsia="tr-TR"/>
        </w:rPr>
        <w:t>37 olmuştur</w:t>
      </w:r>
      <w:r w:rsidR="00BF720A">
        <w:rPr>
          <w:lang w:eastAsia="tr-TR"/>
        </w:rPr>
        <w:t xml:space="preserve">. </w:t>
      </w:r>
      <w:r w:rsidR="003362EF">
        <w:rPr>
          <w:lang w:eastAsia="tr-TR"/>
        </w:rPr>
        <w:t xml:space="preserve">Türkiye bu tavsiyelerin 15’ini kayıt altına almış, 22’sini kabul etmiştir. </w:t>
      </w:r>
    </w:p>
    <w:p w:rsidR="00BF720A" w:rsidRDefault="0083679A" w:rsidP="00E11468">
      <w:pPr>
        <w:rPr>
          <w:lang w:eastAsia="tr-TR"/>
        </w:rPr>
      </w:pPr>
      <w:r>
        <w:rPr>
          <w:noProof/>
          <w:lang w:eastAsia="tr-TR"/>
        </w:rPr>
        <w:drawing>
          <wp:inline distT="0" distB="0" distL="0" distR="0">
            <wp:extent cx="6299835" cy="3948430"/>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YA VE iFADE öZGÜRLÜĞÜ.png"/>
                    <pic:cNvPicPr/>
                  </pic:nvPicPr>
                  <pic:blipFill rotWithShape="1">
                    <a:blip r:embed="rId9" cstate="print">
                      <a:extLst>
                        <a:ext uri="{28A0092B-C50C-407E-A947-70E740481C1C}">
                          <a14:useLocalDpi xmlns:a14="http://schemas.microsoft.com/office/drawing/2010/main" val="0"/>
                        </a:ext>
                      </a:extLst>
                    </a:blip>
                    <a:srcRect t="11146"/>
                    <a:stretch/>
                  </pic:blipFill>
                  <pic:spPr bwMode="auto">
                    <a:xfrm>
                      <a:off x="0" y="0"/>
                      <a:ext cx="6299835" cy="3948430"/>
                    </a:xfrm>
                    <a:prstGeom prst="rect">
                      <a:avLst/>
                    </a:prstGeom>
                    <a:ln>
                      <a:noFill/>
                    </a:ln>
                    <a:extLst>
                      <a:ext uri="{53640926-AAD7-44D8-BBD7-CCE9431645EC}">
                        <a14:shadowObscured xmlns:a14="http://schemas.microsoft.com/office/drawing/2010/main"/>
                      </a:ext>
                    </a:extLst>
                  </pic:spPr>
                </pic:pic>
              </a:graphicData>
            </a:graphic>
          </wp:inline>
        </w:drawing>
      </w:r>
    </w:p>
    <w:p w:rsidR="0083679A" w:rsidRDefault="0083679A" w:rsidP="0083679A">
      <w:pPr>
        <w:pStyle w:val="Balk1"/>
        <w:rPr>
          <w:lang w:eastAsia="tr-TR"/>
        </w:rPr>
      </w:pPr>
      <w:r>
        <w:rPr>
          <w:lang w:eastAsia="tr-TR"/>
        </w:rPr>
        <w:t>TAVSİYELERİN İÇERİĞİ</w:t>
      </w:r>
    </w:p>
    <w:p w:rsidR="0083679A" w:rsidRDefault="0083679A" w:rsidP="0083679A">
      <w:pPr>
        <w:pStyle w:val="ListeParagraf"/>
        <w:numPr>
          <w:ilvl w:val="0"/>
          <w:numId w:val="14"/>
        </w:numPr>
        <w:rPr>
          <w:lang w:eastAsia="tr-TR"/>
        </w:rPr>
      </w:pPr>
      <w:r>
        <w:rPr>
          <w:lang w:eastAsia="tr-TR"/>
        </w:rPr>
        <w:t>İfade Özgürlüğünü kısıtlayan yasaların uluslararası insan hakları standartlarına göre değiştirilmesi</w:t>
      </w:r>
    </w:p>
    <w:p w:rsidR="0083679A" w:rsidRDefault="0083679A" w:rsidP="0083679A">
      <w:pPr>
        <w:pStyle w:val="ListeParagraf"/>
        <w:numPr>
          <w:ilvl w:val="1"/>
          <w:numId w:val="14"/>
        </w:numPr>
        <w:rPr>
          <w:lang w:eastAsia="tr-TR"/>
        </w:rPr>
      </w:pPr>
      <w:r>
        <w:rPr>
          <w:lang w:eastAsia="tr-TR"/>
        </w:rPr>
        <w:t>Anayasa’nın 26 Maddesinde yer alan kısıtlamaların kaldırılması</w:t>
      </w:r>
    </w:p>
    <w:p w:rsidR="0083679A" w:rsidRDefault="0083679A" w:rsidP="0083679A">
      <w:pPr>
        <w:pStyle w:val="ListeParagraf"/>
        <w:numPr>
          <w:ilvl w:val="1"/>
          <w:numId w:val="14"/>
        </w:numPr>
        <w:rPr>
          <w:lang w:eastAsia="tr-TR"/>
        </w:rPr>
      </w:pPr>
      <w:r>
        <w:rPr>
          <w:lang w:eastAsia="tr-TR"/>
        </w:rPr>
        <w:t>5651 sayılı yasanın bilgi edinme hakkı ve ifade özgürlüğünü kısıtlayan maddelerinin değiştirilmesi</w:t>
      </w:r>
    </w:p>
    <w:p w:rsidR="0083679A" w:rsidRDefault="0083679A" w:rsidP="0083679A">
      <w:pPr>
        <w:pStyle w:val="ListeParagraf"/>
        <w:numPr>
          <w:ilvl w:val="1"/>
          <w:numId w:val="14"/>
        </w:numPr>
        <w:rPr>
          <w:lang w:eastAsia="tr-TR"/>
        </w:rPr>
      </w:pPr>
      <w:r>
        <w:rPr>
          <w:lang w:eastAsia="tr-TR"/>
        </w:rPr>
        <w:t xml:space="preserve">Türk Ceza Kanunun </w:t>
      </w:r>
      <w:r w:rsidRPr="0083679A">
        <w:rPr>
          <w:lang w:eastAsia="tr-TR"/>
        </w:rPr>
        <w:t>301, 318, 215</w:t>
      </w:r>
      <w:r>
        <w:rPr>
          <w:lang w:eastAsia="tr-TR"/>
        </w:rPr>
        <w:t xml:space="preserve"> ve 125. Maddeleri de dahil olmak üzere ifade özgürlüğünü kısıtlayan hükümlerinin yasa metninden çıkarılması</w:t>
      </w:r>
    </w:p>
    <w:p w:rsidR="00C42E96" w:rsidRDefault="00C42E96" w:rsidP="0083679A">
      <w:pPr>
        <w:pStyle w:val="ListeParagraf"/>
        <w:numPr>
          <w:ilvl w:val="1"/>
          <w:numId w:val="14"/>
        </w:numPr>
        <w:rPr>
          <w:lang w:eastAsia="tr-TR"/>
        </w:rPr>
      </w:pPr>
      <w:r>
        <w:rPr>
          <w:lang w:eastAsia="tr-TR"/>
        </w:rPr>
        <w:t>Terörle mücadele yasasının ifade özgürlüğünü kısıtlayan hükümlerinin değiştirilmesi</w:t>
      </w:r>
    </w:p>
    <w:p w:rsidR="00C42E96" w:rsidRDefault="00C42E96" w:rsidP="006F6D54">
      <w:pPr>
        <w:pStyle w:val="ListeParagraf"/>
        <w:numPr>
          <w:ilvl w:val="0"/>
          <w:numId w:val="14"/>
        </w:numPr>
        <w:rPr>
          <w:lang w:eastAsia="tr-TR"/>
        </w:rPr>
      </w:pPr>
      <w:r>
        <w:rPr>
          <w:lang w:eastAsia="tr-TR"/>
        </w:rPr>
        <w:t>Gazetecilerin ifade özgürlüğünün güvence altına alınması</w:t>
      </w:r>
    </w:p>
    <w:p w:rsidR="00C42E96" w:rsidRDefault="00C42E96" w:rsidP="006F6D54">
      <w:pPr>
        <w:pStyle w:val="ListeParagraf"/>
        <w:numPr>
          <w:ilvl w:val="0"/>
          <w:numId w:val="14"/>
        </w:numPr>
        <w:rPr>
          <w:lang w:eastAsia="tr-TR"/>
        </w:rPr>
      </w:pPr>
      <w:r>
        <w:rPr>
          <w:lang w:eastAsia="tr-TR"/>
        </w:rPr>
        <w:t>Sanatsal faaliyetler de dahil olmak üzere sansür uygulamalarının ortadan kaldırılması</w:t>
      </w:r>
    </w:p>
    <w:p w:rsidR="0083679A" w:rsidRPr="0083679A" w:rsidRDefault="00C42E96" w:rsidP="00C42E96">
      <w:pPr>
        <w:pStyle w:val="ListeParagraf"/>
        <w:numPr>
          <w:ilvl w:val="0"/>
          <w:numId w:val="14"/>
        </w:numPr>
        <w:rPr>
          <w:lang w:eastAsia="tr-TR"/>
        </w:rPr>
      </w:pPr>
      <w:r>
        <w:rPr>
          <w:lang w:eastAsia="tr-TR"/>
        </w:rPr>
        <w:t>Medyanın bağımsızlığının güvence altına alınması</w:t>
      </w:r>
    </w:p>
    <w:p w:rsidR="00E11468" w:rsidRPr="003362EF" w:rsidRDefault="003362EF" w:rsidP="003362EF">
      <w:pPr>
        <w:pStyle w:val="Balk1"/>
      </w:pPr>
      <w:r w:rsidRPr="003362EF">
        <w:lastRenderedPageBreak/>
        <w:t>Genel Bakış</w:t>
      </w:r>
    </w:p>
    <w:p w:rsidR="00200F25" w:rsidRPr="004F7FEB" w:rsidRDefault="00200F25" w:rsidP="00200F25">
      <w:pPr>
        <w:rPr>
          <w:lang w:eastAsia="tr-TR"/>
        </w:rPr>
      </w:pPr>
      <w:r w:rsidRPr="004F7FEB">
        <w:rPr>
          <w:lang w:eastAsia="tr-TR"/>
        </w:rPr>
        <w:t>15 Temmuz Darbe Girişimi öncesinde zaten vahim olan ifade özgürlüğü tablosu, Olağanüstü Hal’in ilan edilmesinden sonraki dönemde özellikle basın özgürlüğünün tamamen kalktığı bir duruma dönüşmüştür.</w:t>
      </w:r>
      <w:r>
        <w:rPr>
          <w:lang w:eastAsia="tr-TR"/>
        </w:rPr>
        <w:t xml:space="preserve"> </w:t>
      </w:r>
      <w:r w:rsidRPr="004F7FEB">
        <w:rPr>
          <w:lang w:eastAsia="tr-TR"/>
        </w:rPr>
        <w:t>Görüşlerini gazetede, medyada, sosyal medyada açıklayan çok sayıda kişi ise bu nedenle terör örgütleriyle ilişkilendirilmektedir. Doğal olarak işi görüş açıklamak, değerlendirme yapmak olan yazarlar, akademisyenler ve insan hakları savunucuları bu dalgadan en çok etkilenen kesimi oluşturmaktadır.</w:t>
      </w:r>
    </w:p>
    <w:p w:rsidR="00A56056" w:rsidRDefault="00A56056" w:rsidP="00E11468">
      <w:pPr>
        <w:rPr>
          <w:lang w:eastAsia="tr-TR"/>
        </w:rPr>
      </w:pPr>
      <w:r>
        <w:rPr>
          <w:lang w:eastAsia="tr-TR"/>
        </w:rPr>
        <w:t xml:space="preserve">15 Temmuz darbe girişimi ardından 19 Temmuz 2016 tarihinde ilan edilen ve iki yıl süren </w:t>
      </w:r>
      <w:r w:rsidR="00200F25">
        <w:rPr>
          <w:lang w:eastAsia="tr-TR"/>
        </w:rPr>
        <w:t>OHAL</w:t>
      </w:r>
      <w:r>
        <w:rPr>
          <w:lang w:eastAsia="tr-TR"/>
        </w:rPr>
        <w:t xml:space="preserve"> döneminde hükümet, uluslararası sözleşmelerden doğan bazı yükümlülükler</w:t>
      </w:r>
      <w:r w:rsidR="0011012F">
        <w:rPr>
          <w:lang w:eastAsia="tr-TR"/>
        </w:rPr>
        <w:t>inde kısıtlamaya gitti. BM Kişisel ve Siyasal Haklar Sözleşmesinin ifade özgürlüğünü düzenleyen 19. Maddesi de bu kısıtlamalar arasında yer aldı</w:t>
      </w:r>
      <w:r w:rsidR="0011012F">
        <w:rPr>
          <w:rStyle w:val="DipnotBavurusu"/>
          <w:lang w:eastAsia="tr-TR"/>
        </w:rPr>
        <w:footnoteReference w:id="1"/>
      </w:r>
      <w:r w:rsidR="0011012F">
        <w:rPr>
          <w:lang w:eastAsia="tr-TR"/>
        </w:rPr>
        <w:t xml:space="preserve">.  </w:t>
      </w:r>
    </w:p>
    <w:p w:rsidR="0011012F" w:rsidRDefault="0011012F" w:rsidP="00E11468">
      <w:pPr>
        <w:rPr>
          <w:lang w:eastAsia="tr-TR"/>
        </w:rPr>
      </w:pPr>
      <w:r>
        <w:rPr>
          <w:lang w:eastAsia="tr-TR"/>
        </w:rPr>
        <w:t xml:space="preserve">Olağanüstü Hal döneminde yapılan ve 16 Nisan 2017 tarihinde yapılan Referandumla kabul edilen Anayasa Değişikliklerinde, EPİ tavsiyelerine de konu olan 26. Maddede herhangi bir değişiklik yapılmadı. </w:t>
      </w:r>
    </w:p>
    <w:p w:rsidR="0011012F" w:rsidRDefault="00535A6A" w:rsidP="00E11468">
      <w:pPr>
        <w:rPr>
          <w:lang w:eastAsia="tr-TR"/>
        </w:rPr>
      </w:pPr>
      <w:r>
        <w:rPr>
          <w:lang w:eastAsia="tr-TR"/>
        </w:rPr>
        <w:t xml:space="preserve">2015-2018 dönemi içinde Avrupa Konseyi Venedik Komisyonu medya ve ifade özgürlüğünü konu alan bir dizi görüş yayınladı. </w:t>
      </w:r>
      <w:r w:rsidR="00334DC1">
        <w:rPr>
          <w:lang w:eastAsia="tr-TR"/>
        </w:rPr>
        <w:t>(</w:t>
      </w:r>
      <w:r w:rsidR="00334DC1">
        <w:rPr>
          <w:rStyle w:val="DipnotBavurusu"/>
          <w:lang w:eastAsia="tr-TR"/>
        </w:rPr>
        <w:footnoteReference w:id="2"/>
      </w:r>
      <w:r w:rsidR="00334DC1">
        <w:rPr>
          <w:lang w:eastAsia="tr-TR"/>
        </w:rPr>
        <w:t>)</w:t>
      </w:r>
      <w:r w:rsidR="008D0170">
        <w:rPr>
          <w:lang w:eastAsia="tr-TR"/>
        </w:rPr>
        <w:t>(</w:t>
      </w:r>
      <w:r>
        <w:rPr>
          <w:rStyle w:val="DipnotBavurusu"/>
          <w:lang w:eastAsia="tr-TR"/>
        </w:rPr>
        <w:footnoteReference w:id="3"/>
      </w:r>
      <w:r w:rsidR="008D0170">
        <w:rPr>
          <w:lang w:eastAsia="tr-TR"/>
        </w:rPr>
        <w:t xml:space="preserve">)( </w:t>
      </w:r>
      <w:r w:rsidR="008D0170">
        <w:rPr>
          <w:rStyle w:val="DipnotBavurusu"/>
          <w:lang w:eastAsia="tr-TR"/>
        </w:rPr>
        <w:footnoteReference w:id="4"/>
      </w:r>
      <w:r w:rsidR="008D0170">
        <w:rPr>
          <w:lang w:eastAsia="tr-TR"/>
        </w:rPr>
        <w:t>)</w:t>
      </w:r>
    </w:p>
    <w:p w:rsidR="00535A6A" w:rsidRDefault="008D0170" w:rsidP="00E11468">
      <w:pPr>
        <w:rPr>
          <w:lang w:eastAsia="tr-TR"/>
        </w:rPr>
      </w:pPr>
      <w:r>
        <w:rPr>
          <w:lang w:eastAsia="tr-TR"/>
        </w:rPr>
        <w:t xml:space="preserve">Birleşmiş Milletler İfade Özgürlüğü Özel Temsilcisi Richard </w:t>
      </w:r>
      <w:proofErr w:type="spellStart"/>
      <w:r>
        <w:rPr>
          <w:lang w:eastAsia="tr-TR"/>
        </w:rPr>
        <w:t>Kaye</w:t>
      </w:r>
      <w:proofErr w:type="spellEnd"/>
      <w:r>
        <w:rPr>
          <w:lang w:eastAsia="tr-TR"/>
        </w:rPr>
        <w:t xml:space="preserve"> Türkiye’yi ziyaret etti ve ziyareti sonucu bir rapor hazırladı</w:t>
      </w:r>
      <w:r>
        <w:rPr>
          <w:rStyle w:val="DipnotBavurusu"/>
          <w:lang w:eastAsia="tr-TR"/>
        </w:rPr>
        <w:footnoteReference w:id="5"/>
      </w:r>
      <w:r w:rsidR="00334DC1">
        <w:rPr>
          <w:lang w:eastAsia="tr-TR"/>
        </w:rPr>
        <w:t xml:space="preserve">. </w:t>
      </w:r>
    </w:p>
    <w:p w:rsidR="00200F25" w:rsidRDefault="00200F25" w:rsidP="00BF720A">
      <w:pPr>
        <w:rPr>
          <w:lang w:eastAsia="tr-TR"/>
        </w:rPr>
      </w:pPr>
      <w:r>
        <w:rPr>
          <w:lang w:eastAsia="tr-TR"/>
        </w:rPr>
        <w:t>OHAL döneminde</w:t>
      </w:r>
      <w:r w:rsidR="00B602EF" w:rsidRPr="004F7FEB">
        <w:rPr>
          <w:lang w:eastAsia="tr-TR"/>
        </w:rPr>
        <w:t>, aralarında televizyon, radyo</w:t>
      </w:r>
      <w:r>
        <w:rPr>
          <w:lang w:eastAsia="tr-TR"/>
        </w:rPr>
        <w:t>, gazete, haber ajansı</w:t>
      </w:r>
      <w:r w:rsidR="00B602EF" w:rsidRPr="004F7FEB">
        <w:rPr>
          <w:lang w:eastAsia="tr-TR"/>
        </w:rPr>
        <w:t xml:space="preserve"> ve süreli yayınların bulunduğu 200’e yakın basın-yayın kuruluşu kapatılmış</w:t>
      </w:r>
      <w:r>
        <w:rPr>
          <w:lang w:eastAsia="tr-TR"/>
        </w:rPr>
        <w:t xml:space="preserve">, bu kuruluşların şirketleri </w:t>
      </w:r>
      <w:proofErr w:type="spellStart"/>
      <w:r>
        <w:rPr>
          <w:lang w:eastAsia="tr-TR"/>
        </w:rPr>
        <w:t>TMSF’ye</w:t>
      </w:r>
      <w:proofErr w:type="spellEnd"/>
      <w:r>
        <w:rPr>
          <w:lang w:eastAsia="tr-TR"/>
        </w:rPr>
        <w:t xml:space="preserve"> devredilmiş ve satış işlemleri başlatılmıştır</w:t>
      </w:r>
      <w:r w:rsidR="00334DC1">
        <w:rPr>
          <w:rStyle w:val="DipnotBavurusu"/>
          <w:lang w:eastAsia="tr-TR"/>
        </w:rPr>
        <w:footnoteReference w:id="6"/>
      </w:r>
      <w:r>
        <w:rPr>
          <w:lang w:eastAsia="tr-TR"/>
        </w:rPr>
        <w:t xml:space="preserve">. </w:t>
      </w:r>
    </w:p>
    <w:p w:rsidR="00AD79F7" w:rsidRDefault="00C85786" w:rsidP="00C85786">
      <w:r w:rsidRPr="00130458">
        <w:t xml:space="preserve">İçişleri Bakanlığı’nın </w:t>
      </w:r>
      <w:r w:rsidRPr="00100AC5">
        <w:rPr>
          <w:b/>
        </w:rPr>
        <w:t>Nisan 2017-</w:t>
      </w:r>
      <w:r>
        <w:rPr>
          <w:b/>
        </w:rPr>
        <w:t xml:space="preserve">Temmuz </w:t>
      </w:r>
      <w:r w:rsidRPr="00100AC5">
        <w:rPr>
          <w:b/>
        </w:rPr>
        <w:t>2018</w:t>
      </w:r>
      <w:r>
        <w:t xml:space="preserve"> </w:t>
      </w:r>
      <w:r w:rsidRPr="00130458">
        <w:t>dönemine ilişkin verilerine göre, “</w:t>
      </w:r>
      <w:r w:rsidRPr="00CF11F1">
        <w:rPr>
          <w:i/>
        </w:rPr>
        <w:t>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içerdiği</w:t>
      </w:r>
      <w:r w:rsidRPr="00130458">
        <w:t xml:space="preserve">” iddiasıyla toplam </w:t>
      </w:r>
      <w:r>
        <w:rPr>
          <w:b/>
        </w:rPr>
        <w:t>45.415</w:t>
      </w:r>
      <w:r>
        <w:t xml:space="preserve"> </w:t>
      </w:r>
      <w:r w:rsidRPr="00130458">
        <w:t>sosyal medya hesabı incelemeye alın</w:t>
      </w:r>
      <w:r>
        <w:t>dı</w:t>
      </w:r>
      <w:r w:rsidRPr="00130458">
        <w:t xml:space="preserve"> ve tespit edilen </w:t>
      </w:r>
      <w:r w:rsidRPr="00CF11F1">
        <w:rPr>
          <w:b/>
        </w:rPr>
        <w:t>17.089</w:t>
      </w:r>
      <w:r>
        <w:t xml:space="preserve"> kişi hakkında işlem uygulandı.</w:t>
      </w:r>
      <w:r w:rsidR="00200F25">
        <w:rPr>
          <w:rStyle w:val="DipnotBavurusu"/>
        </w:rPr>
        <w:footnoteReference w:id="7"/>
      </w:r>
    </w:p>
    <w:p w:rsidR="00527858" w:rsidRDefault="00527858">
      <w:pPr>
        <w:spacing w:after="160" w:line="252" w:lineRule="auto"/>
        <w:rPr>
          <w:rFonts w:asciiTheme="majorHAnsi" w:eastAsiaTheme="majorEastAsia" w:hAnsiTheme="majorHAnsi" w:cstheme="majorBidi"/>
          <w:b/>
          <w:bCs/>
          <w:caps/>
          <w:spacing w:val="4"/>
          <w:sz w:val="28"/>
          <w:szCs w:val="28"/>
        </w:rPr>
      </w:pPr>
      <w:r>
        <w:br w:type="page"/>
      </w:r>
    </w:p>
    <w:p w:rsidR="00200F25" w:rsidRDefault="00200F25" w:rsidP="000F1DF9">
      <w:pPr>
        <w:pStyle w:val="Balk1"/>
      </w:pPr>
      <w:r>
        <w:lastRenderedPageBreak/>
        <w:t>Türk Ceza Kanunu ve İfade Özgürlüğü</w:t>
      </w:r>
    </w:p>
    <w:p w:rsidR="00C85786" w:rsidRDefault="00AD79F7" w:rsidP="00C85786">
      <w:pPr>
        <w:rPr>
          <w:b/>
          <w:bCs/>
        </w:rPr>
      </w:pPr>
      <w:r w:rsidRPr="00AD79F7">
        <w:rPr>
          <w:b/>
          <w:bCs/>
        </w:rPr>
        <w:t>Cumhurbaşkanına hakaret suçu</w:t>
      </w:r>
      <w:r w:rsidR="000F1DF9">
        <w:rPr>
          <w:b/>
          <w:bCs/>
        </w:rPr>
        <w:t>, TCK m. 299</w:t>
      </w:r>
    </w:p>
    <w:p w:rsidR="00AD79F7" w:rsidRDefault="00AD79F7" w:rsidP="00AD79F7">
      <w:pPr>
        <w:rPr>
          <w:shd w:val="clear" w:color="auto" w:fill="FFFFFF"/>
        </w:rPr>
      </w:pPr>
      <w:r w:rsidRPr="00366E33">
        <w:rPr>
          <w:shd w:val="clear" w:color="auto" w:fill="FFFFFF"/>
        </w:rPr>
        <w:t>Cumhurbaşkanına hakaret suçu,</w:t>
      </w:r>
      <w:r w:rsidRPr="00AD79F7">
        <w:rPr>
          <w:shd w:val="clear" w:color="auto" w:fill="FFFFFF"/>
        </w:rPr>
        <w:t xml:space="preserve"> </w:t>
      </w:r>
      <w:r>
        <w:rPr>
          <w:shd w:val="clear" w:color="auto" w:fill="FFFFFF"/>
        </w:rPr>
        <w:t>Türk Ceza Kanunu’nun 2</w:t>
      </w:r>
      <w:r w:rsidRPr="00AD79F7">
        <w:rPr>
          <w:shd w:val="clear" w:color="auto" w:fill="FFFFFF"/>
        </w:rPr>
        <w:t>99</w:t>
      </w:r>
      <w:r>
        <w:rPr>
          <w:shd w:val="clear" w:color="auto" w:fill="FFFFFF"/>
        </w:rPr>
        <w:t xml:space="preserve">. Maddesinde </w:t>
      </w:r>
      <w:r w:rsidRPr="00AD79F7">
        <w:rPr>
          <w:shd w:val="clear" w:color="auto" w:fill="FFFFFF"/>
        </w:rPr>
        <w:t>düzenlenmiştir. Cumhurbaşkanına hakaret suçu ile makamın değeri konusunda toplumun sahip olduğu duygu ve düşünceleri sarsan, Cumhurbaşkanlığı makamının şeref ve saygınlığına zarar veren fiil ve sıfatların isnat edilmesinin veya sövme fiillerinin cezalandırıldığı ileri sürülmektedir.</w:t>
      </w:r>
    </w:p>
    <w:p w:rsidR="00AD79F7" w:rsidRPr="00366E33" w:rsidRDefault="00AD79F7" w:rsidP="00366E33">
      <w:pPr>
        <w:ind w:left="360"/>
        <w:rPr>
          <w:i/>
          <w:iCs/>
          <w:shd w:val="clear" w:color="auto" w:fill="FFFFFF"/>
        </w:rPr>
      </w:pPr>
      <w:r w:rsidRPr="00366E33">
        <w:rPr>
          <w:i/>
          <w:iCs/>
          <w:shd w:val="clear" w:color="auto" w:fill="FFFFFF"/>
        </w:rPr>
        <w:t>Cumhurbaşkanına hakaret suçunun cezası şu şekildedir (TCK m.299):</w:t>
      </w:r>
    </w:p>
    <w:p w:rsidR="00AD79F7" w:rsidRPr="009C38DE" w:rsidRDefault="00AD79F7" w:rsidP="009C38DE">
      <w:pPr>
        <w:pStyle w:val="ListeParagraf"/>
        <w:numPr>
          <w:ilvl w:val="0"/>
          <w:numId w:val="12"/>
        </w:numPr>
        <w:rPr>
          <w:shd w:val="clear" w:color="auto" w:fill="FFFFFF"/>
        </w:rPr>
      </w:pPr>
      <w:r w:rsidRPr="009C38DE">
        <w:rPr>
          <w:shd w:val="clear" w:color="auto" w:fill="FFFFFF"/>
        </w:rPr>
        <w:t>Cumhurbaşkanına hakaret eden kişi, bir yıldan dört yıla kadar hapis cezası ile cezalandırılır (TCK m.299/1).</w:t>
      </w:r>
    </w:p>
    <w:p w:rsidR="00AD79F7" w:rsidRPr="009C38DE" w:rsidRDefault="00AD79F7" w:rsidP="009C38DE">
      <w:pPr>
        <w:pStyle w:val="ListeParagraf"/>
        <w:numPr>
          <w:ilvl w:val="0"/>
          <w:numId w:val="12"/>
        </w:numPr>
        <w:rPr>
          <w:shd w:val="clear" w:color="auto" w:fill="FFFFFF"/>
        </w:rPr>
      </w:pPr>
      <w:r w:rsidRPr="009C38DE">
        <w:rPr>
          <w:shd w:val="clear" w:color="auto" w:fill="FFFFFF"/>
        </w:rPr>
        <w:t>Suçun alenen işlenmesi hâlinde, verilecek ceza altıda biri oranında artırılır (TCK m.299/2).</w:t>
      </w:r>
    </w:p>
    <w:p w:rsidR="00AD79F7" w:rsidRPr="009C38DE" w:rsidRDefault="00AD79F7" w:rsidP="009C38DE">
      <w:pPr>
        <w:pStyle w:val="ListeParagraf"/>
        <w:numPr>
          <w:ilvl w:val="0"/>
          <w:numId w:val="12"/>
        </w:numPr>
        <w:rPr>
          <w:shd w:val="clear" w:color="auto" w:fill="FFFFFF"/>
        </w:rPr>
      </w:pPr>
      <w:r w:rsidRPr="009C38DE">
        <w:rPr>
          <w:shd w:val="clear" w:color="auto" w:fill="FFFFFF"/>
        </w:rPr>
        <w:t>Bu suçtan dolayı kovuşturma yapılması, Adalet Bakanının iznine bağlıdır (TCK m.299/3)</w:t>
      </w:r>
    </w:p>
    <w:p w:rsidR="00366E33" w:rsidRDefault="00366E33" w:rsidP="00E857A3">
      <w:r>
        <w:t>2015-201</w:t>
      </w:r>
      <w:r w:rsidR="00BE6918">
        <w:t>7</w:t>
      </w:r>
      <w:r>
        <w:t xml:space="preserve"> döneminde Cumhurbaşkanına hakaret suçundan açılan davalar ve cezalandırma pratikleri</w:t>
      </w:r>
      <w:r w:rsidR="00724A80">
        <w:t>ndeki artış önemli boyutlara ulaşmıştır. EPİ tavsiyeleri öncesi 2014 yılında sadece 132 kişiye karşı dava açılmışken, açılan davalar</w:t>
      </w:r>
      <w:r>
        <w:t xml:space="preserve"> 2015 yılında 1953 kişiye, </w:t>
      </w:r>
      <w:r w:rsidR="00BE6918">
        <w:t xml:space="preserve">2016 yılında 4187 kişiye, 2017 yılında ise 6033 kişiye </w:t>
      </w:r>
      <w:r w:rsidR="00724A80">
        <w:t xml:space="preserve">ulaşmıştır. </w:t>
      </w:r>
      <w:r w:rsidR="00BE6918">
        <w:t xml:space="preserve"> </w:t>
      </w:r>
    </w:p>
    <w:p w:rsidR="00724A80" w:rsidRDefault="00BE6918" w:rsidP="00E857A3">
      <w:r>
        <w:t>Aynı dönemde, karar bağlanan davalara bakıldığında</w:t>
      </w:r>
      <w:r w:rsidR="00724A80">
        <w:t xml:space="preserve">, 2014 yılında sadece 141 kişi hakkında karar verilmiş iken, 2015 yılında 678 kişi, 2016 yılında 2579 kişi, 2017 yılında da 5150 kişi hakkında mahkemeler karar vermiştir. Bu dönemde </w:t>
      </w:r>
      <w:r w:rsidR="00A56056">
        <w:t>mahkûmiyet</w:t>
      </w:r>
      <w:r w:rsidR="00724A80">
        <w:t xml:space="preserve"> kararlarında ve bir çeşit sansür anlamına gelen HAGB uygulamalarında da artış olmuştur.</w:t>
      </w:r>
    </w:p>
    <w:p w:rsidR="00067AA0" w:rsidRPr="00067AA0" w:rsidRDefault="00067AA0" w:rsidP="00E857A3">
      <w:pPr>
        <w:rPr>
          <w:b/>
          <w:bCs/>
        </w:rPr>
      </w:pPr>
    </w:p>
    <w:p w:rsidR="00BE6918" w:rsidRDefault="003E6182" w:rsidP="00E857A3">
      <w:r>
        <w:rPr>
          <w:noProof/>
        </w:rPr>
        <w:drawing>
          <wp:inline distT="0" distB="0" distL="0" distR="0">
            <wp:extent cx="6191250" cy="3324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K M_299.png"/>
                    <pic:cNvPicPr/>
                  </pic:nvPicPr>
                  <pic:blipFill rotWithShape="1">
                    <a:blip r:embed="rId10" cstate="print">
                      <a:extLst>
                        <a:ext uri="{28A0092B-C50C-407E-A947-70E740481C1C}">
                          <a14:useLocalDpi xmlns:a14="http://schemas.microsoft.com/office/drawing/2010/main" val="0"/>
                        </a:ext>
                      </a:extLst>
                    </a:blip>
                    <a:srcRect b="5369"/>
                    <a:stretch/>
                  </pic:blipFill>
                  <pic:spPr bwMode="auto">
                    <a:xfrm>
                      <a:off x="0" y="0"/>
                      <a:ext cx="6191250" cy="3324225"/>
                    </a:xfrm>
                    <a:prstGeom prst="rect">
                      <a:avLst/>
                    </a:prstGeom>
                    <a:ln>
                      <a:noFill/>
                    </a:ln>
                    <a:extLst>
                      <a:ext uri="{53640926-AAD7-44D8-BBD7-CCE9431645EC}">
                        <a14:shadowObscured xmlns:a14="http://schemas.microsoft.com/office/drawing/2010/main"/>
                      </a:ext>
                    </a:extLst>
                  </pic:spPr>
                </pic:pic>
              </a:graphicData>
            </a:graphic>
          </wp:inline>
        </w:drawing>
      </w:r>
      <w:r w:rsidR="00724A80">
        <w:t xml:space="preserve"> </w:t>
      </w:r>
    </w:p>
    <w:p w:rsidR="00C42E96" w:rsidRDefault="007746D8" w:rsidP="00C42E96">
      <w:pPr>
        <w:rPr>
          <w:b/>
          <w:bCs/>
        </w:rPr>
      </w:pPr>
      <w:r>
        <w:rPr>
          <w:b/>
          <w:bCs/>
        </w:rPr>
        <w:t>TCK 220/7</w:t>
      </w:r>
    </w:p>
    <w:p w:rsidR="007746D8" w:rsidRDefault="007746D8" w:rsidP="00C42E96">
      <w:pPr>
        <w:rPr>
          <w:b/>
          <w:bCs/>
        </w:rPr>
      </w:pPr>
      <w:r>
        <w:rPr>
          <w:b/>
          <w:bCs/>
          <w:noProof/>
        </w:rPr>
        <w:lastRenderedPageBreak/>
        <w:drawing>
          <wp:inline distT="0" distB="0" distL="0" distR="0">
            <wp:extent cx="4752975" cy="2105934"/>
            <wp:effectExtent l="0" t="0" r="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K 220_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1462" cy="2114125"/>
                    </a:xfrm>
                    <a:prstGeom prst="rect">
                      <a:avLst/>
                    </a:prstGeom>
                  </pic:spPr>
                </pic:pic>
              </a:graphicData>
            </a:graphic>
          </wp:inline>
        </w:drawing>
      </w:r>
    </w:p>
    <w:p w:rsidR="00E604E0" w:rsidRDefault="00EC0537" w:rsidP="00C42E96">
      <w:pPr>
        <w:rPr>
          <w:b/>
          <w:bCs/>
        </w:rPr>
      </w:pPr>
      <w:r>
        <w:rPr>
          <w:b/>
          <w:bCs/>
          <w:noProof/>
        </w:rPr>
        <w:drawing>
          <wp:inline distT="0" distB="0" distL="0" distR="0">
            <wp:extent cx="4829175" cy="274544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CK 220_7_acılan dav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9753" cy="2751462"/>
                    </a:xfrm>
                    <a:prstGeom prst="rect">
                      <a:avLst/>
                    </a:prstGeom>
                  </pic:spPr>
                </pic:pic>
              </a:graphicData>
            </a:graphic>
          </wp:inline>
        </w:drawing>
      </w:r>
    </w:p>
    <w:p w:rsidR="00E604E0" w:rsidRDefault="00100772" w:rsidP="00C42E96">
      <w:pPr>
        <w:rPr>
          <w:b/>
          <w:bCs/>
        </w:rPr>
      </w:pPr>
      <w:r>
        <w:rPr>
          <w:b/>
          <w:bCs/>
        </w:rPr>
        <w:t>TCK 216</w:t>
      </w:r>
    </w:p>
    <w:p w:rsidR="00100772" w:rsidRDefault="00100772" w:rsidP="00C42E96">
      <w:pPr>
        <w:rPr>
          <w:b/>
          <w:bCs/>
        </w:rPr>
      </w:pPr>
      <w:r>
        <w:rPr>
          <w:b/>
          <w:bCs/>
          <w:noProof/>
        </w:rPr>
        <w:drawing>
          <wp:inline distT="0" distB="0" distL="0" distR="0">
            <wp:extent cx="6191250" cy="2930525"/>
            <wp:effectExtent l="0" t="0" r="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K 216_acılandav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1250" cy="2930525"/>
                    </a:xfrm>
                    <a:prstGeom prst="rect">
                      <a:avLst/>
                    </a:prstGeom>
                  </pic:spPr>
                </pic:pic>
              </a:graphicData>
            </a:graphic>
          </wp:inline>
        </w:drawing>
      </w:r>
    </w:p>
    <w:p w:rsidR="00E604E0" w:rsidRDefault="00E604E0" w:rsidP="00C42E96">
      <w:pPr>
        <w:rPr>
          <w:b/>
          <w:bCs/>
        </w:rPr>
      </w:pPr>
    </w:p>
    <w:p w:rsidR="005A0B6F" w:rsidRDefault="005A0B6F" w:rsidP="00C42E96">
      <w:pPr>
        <w:rPr>
          <w:b/>
          <w:bCs/>
        </w:rPr>
      </w:pPr>
      <w:r>
        <w:rPr>
          <w:b/>
          <w:bCs/>
        </w:rPr>
        <w:t>TCK 215</w:t>
      </w:r>
    </w:p>
    <w:p w:rsidR="005A0B6F" w:rsidRDefault="005A0B6F" w:rsidP="00C42E96">
      <w:pPr>
        <w:rPr>
          <w:b/>
          <w:bCs/>
        </w:rPr>
      </w:pPr>
      <w:r>
        <w:rPr>
          <w:b/>
          <w:bCs/>
          <w:noProof/>
        </w:rPr>
        <w:lastRenderedPageBreak/>
        <w:drawing>
          <wp:inline distT="0" distB="0" distL="0" distR="0">
            <wp:extent cx="4381500" cy="198183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K 215_2014_20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1791" cy="1986490"/>
                    </a:xfrm>
                    <a:prstGeom prst="rect">
                      <a:avLst/>
                    </a:prstGeom>
                  </pic:spPr>
                </pic:pic>
              </a:graphicData>
            </a:graphic>
          </wp:inline>
        </w:drawing>
      </w:r>
    </w:p>
    <w:p w:rsidR="005A24D5" w:rsidRDefault="005A24D5" w:rsidP="00C42E96">
      <w:pPr>
        <w:rPr>
          <w:b/>
          <w:bCs/>
        </w:rPr>
      </w:pPr>
      <w:r>
        <w:rPr>
          <w:b/>
          <w:bCs/>
        </w:rPr>
        <w:t>TCK 314</w:t>
      </w:r>
    </w:p>
    <w:p w:rsidR="005A24D5" w:rsidRDefault="005A24D5" w:rsidP="00C42E96">
      <w:pPr>
        <w:rPr>
          <w:b/>
          <w:bCs/>
        </w:rPr>
      </w:pPr>
      <w:r>
        <w:rPr>
          <w:b/>
          <w:bCs/>
          <w:noProof/>
        </w:rPr>
        <w:drawing>
          <wp:inline distT="0" distB="0" distL="0" distR="0">
            <wp:extent cx="6067425" cy="27527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K 314_soruşturm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7756" cy="2766486"/>
                    </a:xfrm>
                    <a:prstGeom prst="rect">
                      <a:avLst/>
                    </a:prstGeom>
                  </pic:spPr>
                </pic:pic>
              </a:graphicData>
            </a:graphic>
          </wp:inline>
        </w:drawing>
      </w:r>
    </w:p>
    <w:p w:rsidR="00E604E0" w:rsidRDefault="00E604E0" w:rsidP="000F1DF9">
      <w:pPr>
        <w:pStyle w:val="Balk1"/>
      </w:pPr>
      <w:r>
        <w:t>Gazetecilerin İfade Özgürlüğü</w:t>
      </w:r>
    </w:p>
    <w:p w:rsidR="00E604E0" w:rsidRDefault="00E604E0" w:rsidP="00C42E96">
      <w:r w:rsidRPr="00E604E0">
        <w:t>2015-2018</w:t>
      </w:r>
      <w:r>
        <w:t xml:space="preserve"> döneminde Türkiye tutuklu ve hükümlü gazetecilerin en çok olduğu ülke sıralamasında Avrupa’nın birincisi oldu.  </w:t>
      </w:r>
      <w:proofErr w:type="spellStart"/>
      <w:r>
        <w:t>Bianet</w:t>
      </w:r>
      <w:proofErr w:type="spellEnd"/>
      <w:r>
        <w:t xml:space="preserve"> tarafından sağlanan bilgilere göre 2018 yılında cezaevinde bulunan gazetec</w:t>
      </w:r>
      <w:r w:rsidR="0001241D">
        <w:t>i</w:t>
      </w:r>
      <w:r>
        <w:t xml:space="preserve"> sayısı 122’ye ulaştı.</w:t>
      </w:r>
      <w:r>
        <w:rPr>
          <w:rStyle w:val="DipnotBavurusu"/>
        </w:rPr>
        <w:footnoteReference w:id="8"/>
      </w:r>
      <w:r>
        <w:t xml:space="preserve">   </w:t>
      </w:r>
    </w:p>
    <w:p w:rsidR="0001241D" w:rsidRDefault="0001241D" w:rsidP="0001241D">
      <w:pPr>
        <w:rPr>
          <w:rFonts w:eastAsia="Times New Roman"/>
          <w:lang w:eastAsia="tr-TR"/>
        </w:rPr>
      </w:pPr>
      <w:r>
        <w:rPr>
          <w:rFonts w:eastAsia="Times New Roman"/>
          <w:lang w:eastAsia="tr-TR"/>
        </w:rPr>
        <w:t xml:space="preserve">Kendisine verilen bir soru önergesini yanıtlayan </w:t>
      </w:r>
      <w:r w:rsidRPr="0001241D">
        <w:rPr>
          <w:rFonts w:eastAsia="Times New Roman"/>
          <w:lang w:eastAsia="tr-TR"/>
        </w:rPr>
        <w:t>Cumhurbaşkanı Yardımcısı </w:t>
      </w:r>
      <w:r w:rsidRPr="0001241D">
        <w:rPr>
          <w:rFonts w:eastAsia="Times New Roman"/>
          <w:b/>
          <w:bCs/>
          <w:bdr w:val="none" w:sz="0" w:space="0" w:color="auto" w:frame="1"/>
          <w:lang w:eastAsia="tr-TR"/>
        </w:rPr>
        <w:t>Fuat Oktay</w:t>
      </w:r>
      <w:r w:rsidRPr="0001241D">
        <w:rPr>
          <w:rFonts w:eastAsia="Times New Roman"/>
          <w:lang w:eastAsia="tr-TR"/>
        </w:rPr>
        <w:t>, son üç yılda bin 954 gazetecinin basın kartının iptal edildiğini</w:t>
      </w:r>
      <w:r>
        <w:rPr>
          <w:rFonts w:eastAsia="Times New Roman"/>
          <w:lang w:eastAsia="tr-TR"/>
        </w:rPr>
        <w:t>, ayrıca OHAL döneminde kapatılan medya kuruluşlarında çalışan ya da aynı sebeplerle görevinden uzaklaştırılan/ihraç edilen 705 kişiye ait basın kartının da iptal edildiğini açıkladı.</w:t>
      </w:r>
      <w:r>
        <w:rPr>
          <w:rStyle w:val="DipnotBavurusu"/>
          <w:rFonts w:eastAsia="Times New Roman"/>
          <w:lang w:eastAsia="tr-TR"/>
        </w:rPr>
        <w:footnoteReference w:id="9"/>
      </w:r>
      <w:r>
        <w:rPr>
          <w:rFonts w:eastAsia="Times New Roman"/>
          <w:lang w:eastAsia="tr-TR"/>
        </w:rPr>
        <w:t xml:space="preserve"> </w:t>
      </w:r>
    </w:p>
    <w:p w:rsidR="00CD5D15" w:rsidRDefault="004D39F9" w:rsidP="0001241D">
      <w:pPr>
        <w:rPr>
          <w:rFonts w:eastAsia="Times New Roman"/>
          <w:lang w:eastAsia="tr-TR"/>
        </w:rPr>
      </w:pPr>
      <w:r>
        <w:rPr>
          <w:rFonts w:eastAsia="Times New Roman"/>
          <w:lang w:eastAsia="tr-TR"/>
        </w:rPr>
        <w:t xml:space="preserve">Basın </w:t>
      </w:r>
      <w:r w:rsidR="000F1DF9">
        <w:rPr>
          <w:rFonts w:eastAsia="Times New Roman"/>
          <w:lang w:eastAsia="tr-TR"/>
        </w:rPr>
        <w:t>K</w:t>
      </w:r>
      <w:r>
        <w:rPr>
          <w:rFonts w:eastAsia="Times New Roman"/>
          <w:lang w:eastAsia="tr-TR"/>
        </w:rPr>
        <w:t>artı Yönetmeliğinde 2018 yılında yapılan bir değişiklikle</w:t>
      </w:r>
      <w:r w:rsidR="003E6182">
        <w:rPr>
          <w:rStyle w:val="DipnotBavurusu"/>
          <w:rFonts w:eastAsia="Times New Roman"/>
          <w:lang w:eastAsia="tr-TR"/>
        </w:rPr>
        <w:footnoteReference w:id="10"/>
      </w:r>
      <w:r>
        <w:rPr>
          <w:rFonts w:eastAsia="Times New Roman"/>
          <w:lang w:eastAsia="tr-TR"/>
        </w:rPr>
        <w:t xml:space="preserve"> basın kartı verilecek kişilerde aranan özellikler </w:t>
      </w:r>
      <w:r w:rsidR="00CD5D15">
        <w:rPr>
          <w:rFonts w:eastAsia="Times New Roman"/>
          <w:lang w:eastAsia="tr-TR"/>
        </w:rPr>
        <w:t xml:space="preserve">çoğaltıldı.  </w:t>
      </w:r>
    </w:p>
    <w:p w:rsidR="00CD5D15" w:rsidRPr="00CD5D15" w:rsidRDefault="00CD5D15" w:rsidP="00CD5D15">
      <w:pPr>
        <w:ind w:left="708"/>
        <w:rPr>
          <w:sz w:val="18"/>
          <w:szCs w:val="18"/>
        </w:rPr>
      </w:pPr>
      <w:r>
        <w:t>“</w:t>
      </w:r>
      <w:proofErr w:type="gramStart"/>
      <w:r w:rsidRPr="00CD5D15">
        <w:rPr>
          <w:sz w:val="18"/>
          <w:szCs w:val="18"/>
        </w:rPr>
        <w:t>c</w:t>
      </w:r>
      <w:proofErr w:type="gramEnd"/>
      <w:r w:rsidRPr="00CD5D15">
        <w:rPr>
          <w:sz w:val="18"/>
          <w:szCs w:val="18"/>
        </w:rPr>
        <w:t>) Kısıtlı veya kamu hizmetlerinden yasaklı olmaması,</w:t>
      </w:r>
    </w:p>
    <w:p w:rsidR="00CD5D15" w:rsidRPr="00CD5D15" w:rsidRDefault="00CD5D15" w:rsidP="00CD5D15">
      <w:pPr>
        <w:ind w:left="708"/>
        <w:rPr>
          <w:sz w:val="18"/>
          <w:szCs w:val="18"/>
        </w:rPr>
      </w:pPr>
      <w:r w:rsidRPr="00CD5D15">
        <w:rPr>
          <w:sz w:val="18"/>
          <w:szCs w:val="18"/>
        </w:rPr>
        <w:t>ç) 26/9/2004 tarihli ve </w:t>
      </w:r>
      <w:hyperlink r:id="rId16" w:history="1">
        <w:r w:rsidRPr="00CD5D15">
          <w:rPr>
            <w:sz w:val="18"/>
            <w:szCs w:val="18"/>
          </w:rPr>
          <w:t>5237 sayılı Türk Ceza Kanununun</w:t>
        </w:r>
      </w:hyperlink>
      <w:r w:rsidRPr="00CD5D15">
        <w:rPr>
          <w:sz w:val="18"/>
          <w:szCs w:val="18"/>
        </w:rPr>
        <w:t> 53</w:t>
      </w:r>
      <w:r w:rsidR="008B4576">
        <w:rPr>
          <w:sz w:val="18"/>
          <w:szCs w:val="18"/>
        </w:rPr>
        <w:t>’</w:t>
      </w:r>
      <w:r w:rsidRPr="00CD5D15">
        <w:rPr>
          <w:sz w:val="18"/>
          <w:szCs w:val="18"/>
        </w:rPr>
        <w:t>üncü maddesinde belirtilen süreler geçmiş olsa bile; kasten işlenen bir suçtan dolayı 5 yıl veya daha fazla süreyle hapis cezasına ya da şantaj, hırsızlık, sahtecilik, dolandırıcılık, güveni kötüye kullanma, yalan tanıklık, yalan yere yemin, iftira, suç uydurma, müstehcenlik, fuhuş, hileli iflas, zimmet, irtikâp, rüşvet, kaçakçılık, ihaleye fesat karıştırma, edimin ifasına fesat karıştırma suçları ve cinsel dokunulmazlığa karşı suçlar ile bu suçların özel kanunlardaki karşılıklarından hüküm giymemiş olması,</w:t>
      </w:r>
    </w:p>
    <w:p w:rsidR="00CD5D15" w:rsidRPr="00CD5D15" w:rsidRDefault="00CD5D15" w:rsidP="00CD5D15">
      <w:pPr>
        <w:ind w:left="708"/>
        <w:rPr>
          <w:sz w:val="18"/>
          <w:szCs w:val="18"/>
        </w:rPr>
      </w:pPr>
      <w:r w:rsidRPr="00CD5D15">
        <w:rPr>
          <w:sz w:val="18"/>
          <w:szCs w:val="18"/>
        </w:rPr>
        <w:t xml:space="preserve">d) </w:t>
      </w:r>
      <w:r w:rsidRPr="008B4576">
        <w:rPr>
          <w:sz w:val="18"/>
          <w:szCs w:val="18"/>
        </w:rPr>
        <w:t>12/4/1991 tarihli ve </w:t>
      </w:r>
      <w:hyperlink r:id="rId17" w:history="1">
        <w:r w:rsidRPr="008B4576">
          <w:rPr>
            <w:sz w:val="18"/>
            <w:szCs w:val="18"/>
          </w:rPr>
          <w:t xml:space="preserve">3713 sayılı </w:t>
        </w:r>
        <w:r w:rsidR="008B4576" w:rsidRPr="008B4576">
          <w:rPr>
            <w:sz w:val="18"/>
            <w:szCs w:val="18"/>
          </w:rPr>
          <w:t>Terörle Mücadele Kanunu’nun</w:t>
        </w:r>
      </w:hyperlink>
      <w:r w:rsidRPr="008B4576">
        <w:rPr>
          <w:sz w:val="18"/>
          <w:szCs w:val="18"/>
        </w:rPr>
        <w:t> </w:t>
      </w:r>
      <w:r w:rsidR="008B4576" w:rsidRPr="008B4576">
        <w:rPr>
          <w:sz w:val="18"/>
          <w:szCs w:val="18"/>
        </w:rPr>
        <w:t>3’üncü</w:t>
      </w:r>
      <w:r w:rsidRPr="008B4576">
        <w:rPr>
          <w:sz w:val="18"/>
          <w:szCs w:val="18"/>
        </w:rPr>
        <w:t xml:space="preserve"> maddesinde sayılan terör suçları ile </w:t>
      </w:r>
      <w:r w:rsidR="008B4576" w:rsidRPr="008B4576">
        <w:rPr>
          <w:sz w:val="18"/>
          <w:szCs w:val="18"/>
        </w:rPr>
        <w:t>4’üncü</w:t>
      </w:r>
      <w:r w:rsidRPr="008B4576">
        <w:rPr>
          <w:sz w:val="18"/>
          <w:szCs w:val="18"/>
        </w:rPr>
        <w:t xml:space="preserve"> maddesinde sayılan terör amacı ile işlenen suçlardan hüküm giymemiş olması</w:t>
      </w:r>
      <w:r w:rsidRPr="00CD5D15">
        <w:rPr>
          <w:sz w:val="18"/>
          <w:szCs w:val="18"/>
        </w:rPr>
        <w:t>,</w:t>
      </w:r>
    </w:p>
    <w:p w:rsidR="00CD5D15" w:rsidRPr="008C6952" w:rsidRDefault="00CD5D15" w:rsidP="00CD5D15">
      <w:pPr>
        <w:widowControl w:val="0"/>
        <w:suppressLineNumbers/>
        <w:tabs>
          <w:tab w:val="left" w:pos="540"/>
        </w:tabs>
        <w:spacing w:line="200" w:lineRule="exact"/>
        <w:ind w:left="708"/>
        <w:rPr>
          <w:rFonts w:eastAsia="Arial Unicode MS"/>
          <w:i/>
          <w:iCs/>
          <w:sz w:val="18"/>
          <w:szCs w:val="20"/>
        </w:rPr>
      </w:pPr>
      <w:r w:rsidRPr="00CD5D15">
        <w:rPr>
          <w:sz w:val="18"/>
          <w:szCs w:val="18"/>
        </w:rPr>
        <w:lastRenderedPageBreak/>
        <w:t xml:space="preserve">e) 5237 sayılı Kanunun 213, 214, 215, 216 ve </w:t>
      </w:r>
      <w:r w:rsidR="008B4576" w:rsidRPr="00CD5D15">
        <w:rPr>
          <w:sz w:val="18"/>
          <w:szCs w:val="18"/>
        </w:rPr>
        <w:t>217’nci</w:t>
      </w:r>
      <w:r w:rsidRPr="00CD5D15">
        <w:rPr>
          <w:sz w:val="18"/>
          <w:szCs w:val="18"/>
        </w:rPr>
        <w:t xml:space="preserve"> maddelerinde sayılan suçla</w:t>
      </w:r>
      <w:r>
        <w:rPr>
          <w:sz w:val="18"/>
          <w:szCs w:val="18"/>
        </w:rPr>
        <w:t>r</w:t>
      </w:r>
      <w:r>
        <w:rPr>
          <w:rStyle w:val="DipnotBavurusu"/>
          <w:sz w:val="18"/>
          <w:szCs w:val="18"/>
        </w:rPr>
        <w:footnoteReference w:id="11"/>
      </w:r>
    </w:p>
    <w:p w:rsidR="00CD5D15" w:rsidRPr="00CD5D15" w:rsidRDefault="00CD5D15" w:rsidP="00CD5D15">
      <w:pPr>
        <w:ind w:left="708"/>
        <w:rPr>
          <w:sz w:val="18"/>
          <w:szCs w:val="18"/>
        </w:rPr>
      </w:pPr>
      <w:r w:rsidRPr="00CD5D15">
        <w:rPr>
          <w:sz w:val="18"/>
          <w:szCs w:val="18"/>
        </w:rPr>
        <w:t xml:space="preserve"> </w:t>
      </w:r>
      <w:proofErr w:type="gramStart"/>
      <w:r w:rsidRPr="00CD5D15">
        <w:rPr>
          <w:sz w:val="18"/>
          <w:szCs w:val="18"/>
        </w:rPr>
        <w:t>ile</w:t>
      </w:r>
      <w:proofErr w:type="gramEnd"/>
      <w:r w:rsidRPr="00CD5D15">
        <w:rPr>
          <w:sz w:val="18"/>
          <w:szCs w:val="18"/>
        </w:rPr>
        <w:t xml:space="preserve"> Anayasal düzene ve bu düzenin işleyişine karşı suçlar, milli savunmaya karşı suçlar ile devlet sırlarına karşı suçlar ve casusluk suçlarından hüküm giymemiş olması,</w:t>
      </w:r>
    </w:p>
    <w:p w:rsidR="00CD5D15" w:rsidRDefault="00CD5D15" w:rsidP="00CD5D15">
      <w:pPr>
        <w:ind w:left="708"/>
      </w:pPr>
      <w:r w:rsidRPr="00CD5D15">
        <w:rPr>
          <w:sz w:val="18"/>
          <w:szCs w:val="18"/>
        </w:rPr>
        <w:t>f) 5187 sayılı Kanunun 25</w:t>
      </w:r>
      <w:r w:rsidR="008B4576">
        <w:rPr>
          <w:sz w:val="18"/>
          <w:szCs w:val="18"/>
        </w:rPr>
        <w:t>’</w:t>
      </w:r>
      <w:r w:rsidRPr="00CD5D15">
        <w:rPr>
          <w:sz w:val="18"/>
          <w:szCs w:val="18"/>
        </w:rPr>
        <w:t>inci maddesinin ikinci fıkrasında yer alan suçlardan</w:t>
      </w:r>
      <w:r w:rsidR="000F1DF9">
        <w:rPr>
          <w:rStyle w:val="DipnotBavurusu"/>
          <w:sz w:val="18"/>
          <w:szCs w:val="18"/>
        </w:rPr>
        <w:footnoteReference w:id="12"/>
      </w:r>
      <w:r w:rsidRPr="00CD5D15">
        <w:rPr>
          <w:sz w:val="18"/>
          <w:szCs w:val="18"/>
        </w:rPr>
        <w:t xml:space="preserve"> veya bu suçlara tahrik ve teşvikten hüküm giymemiş olması</w:t>
      </w:r>
      <w:r>
        <w:t>”</w:t>
      </w:r>
      <w:r w:rsidR="00C60B59">
        <w:t xml:space="preserve"> (Madde 6)</w:t>
      </w:r>
    </w:p>
    <w:p w:rsidR="004D39F9" w:rsidRDefault="004D39F9" w:rsidP="0001241D">
      <w:pPr>
        <w:rPr>
          <w:rFonts w:eastAsia="Times New Roman"/>
          <w:lang w:eastAsia="tr-TR"/>
        </w:rPr>
      </w:pPr>
      <w:r>
        <w:rPr>
          <w:rFonts w:eastAsia="Times New Roman"/>
          <w:lang w:eastAsia="tr-TR"/>
        </w:rPr>
        <w:t xml:space="preserve"> </w:t>
      </w:r>
    </w:p>
    <w:p w:rsidR="00874D3D" w:rsidRDefault="00874D3D" w:rsidP="003E6182">
      <w:pPr>
        <w:pStyle w:val="Balk1"/>
      </w:pPr>
      <w:r>
        <w:t>Erişim Engelleri</w:t>
      </w:r>
    </w:p>
    <w:p w:rsidR="003E6182" w:rsidRPr="003E6182" w:rsidRDefault="003E6182" w:rsidP="003E6182"/>
    <w:p w:rsidR="00874D3D" w:rsidRDefault="00874D3D" w:rsidP="00874D3D">
      <w:r>
        <w:t xml:space="preserve">Olağanüstü Hal döneminde xxx sayılı Kanun hükmünde Kararnamenin xx maddesinde </w:t>
      </w:r>
      <w:r w:rsidRPr="0003421E">
        <w:t>Telekomünikasyon İletişim Başkanlığı</w:t>
      </w:r>
      <w:r>
        <w:t xml:space="preserve"> (TİB)</w:t>
      </w:r>
      <w:r w:rsidRPr="0003421E">
        <w:t xml:space="preserve"> </w:t>
      </w:r>
      <w:r>
        <w:t xml:space="preserve">kaldırılarak </w:t>
      </w:r>
      <w:r w:rsidRPr="0003421E">
        <w:t>Bilgi Teknolojileri ve İletişim Kurumu</w:t>
      </w:r>
      <w:r>
        <w:t xml:space="preserve"> (BTK) oluşturuldu. </w:t>
      </w:r>
    </w:p>
    <w:p w:rsidR="00874D3D" w:rsidRDefault="00874D3D" w:rsidP="00874D3D">
      <w:r>
        <w:t xml:space="preserve">İfade özgürlüğü derneğinin (İFÖD) raporuna göre </w:t>
      </w:r>
      <w:r w:rsidRPr="0003421E">
        <w:t xml:space="preserve">Türkiye’den 2018 öncesinde 190.922 alan adı ve web sitesi TİB ve sonrasında BTK tarafından erişime engellenmiştir. </w:t>
      </w:r>
      <w:r>
        <w:t xml:space="preserve">Bu kurumların dışında </w:t>
      </w:r>
      <w:r w:rsidRPr="0003421E">
        <w:t xml:space="preserve">sulh ceza hakimlikleri, savcılıklar ve mahkemeler tarafından </w:t>
      </w:r>
      <w:r>
        <w:t xml:space="preserve">da </w:t>
      </w:r>
      <w:r w:rsidRPr="0003421E">
        <w:t>erişim engellenm</w:t>
      </w:r>
      <w:r>
        <w:t xml:space="preserve">e kararları verilmiştir. İFÖD tarafından yapılan çalışmaya göre </w:t>
      </w:r>
      <w:r w:rsidRPr="0003421E">
        <w:t>2018 yılı sonu itibarıyla Türkiye’den toplam 245.825 alan adı erişime engellenmiştir.</w:t>
      </w:r>
      <w:r w:rsidR="008B4576">
        <w:rPr>
          <w:rStyle w:val="DipnotBavurusu"/>
        </w:rPr>
        <w:footnoteReference w:id="13"/>
      </w:r>
      <w:r w:rsidRPr="0003421E">
        <w:t xml:space="preserve"> </w:t>
      </w:r>
    </w:p>
    <w:p w:rsidR="00874D3D" w:rsidRDefault="00874D3D" w:rsidP="00874D3D">
      <w:r>
        <w:t>Ankara 1. Sulh Ceza Hakimliği kararı</w:t>
      </w:r>
      <w:r w:rsidRPr="00910B63">
        <w:t xml:space="preserve"> </w:t>
      </w:r>
      <w:r>
        <w:t xml:space="preserve">ile Nisan 2017’de verilen </w:t>
      </w:r>
      <w:proofErr w:type="spellStart"/>
      <w:r>
        <w:t>Wikipedia</w:t>
      </w:r>
      <w:proofErr w:type="spellEnd"/>
      <w:r>
        <w:t xml:space="preserve"> platformuna erişim engellemesi kararı 2018 yılında da devam etmiştir. Mahkemelere yapılan itirazların sonuç vermemesi nedeniyle Anayasa Mahkemesine götürülen erişim engelleme kararına ilişkin olarak AYM henüz bir karar vermemiştir. </w:t>
      </w:r>
    </w:p>
    <w:p w:rsidR="00282C01" w:rsidRDefault="00282C01" w:rsidP="00874D3D"/>
    <w:p w:rsidR="00282C01" w:rsidRPr="007E11AE" w:rsidRDefault="00282C01" w:rsidP="00282C01">
      <w:pPr>
        <w:rPr>
          <w:b/>
          <w:bCs/>
          <w:i/>
          <w:iCs/>
        </w:rPr>
      </w:pPr>
    </w:p>
    <w:p w:rsidR="00282C01" w:rsidRDefault="00282C01" w:rsidP="00282C01">
      <w:pPr>
        <w:pBdr>
          <w:top w:val="single" w:sz="4" w:space="1" w:color="auto"/>
          <w:left w:val="single" w:sz="4" w:space="4" w:color="auto"/>
          <w:bottom w:val="single" w:sz="4" w:space="1" w:color="auto"/>
          <w:right w:val="single" w:sz="4" w:space="4" w:color="auto"/>
        </w:pBdr>
        <w:shd w:val="clear" w:color="auto" w:fill="EBEBEB" w:themeFill="background2"/>
      </w:pPr>
    </w:p>
    <w:p w:rsidR="00282C01" w:rsidRPr="00FB17BF" w:rsidRDefault="00282C01" w:rsidP="00282C01">
      <w:pPr>
        <w:pBdr>
          <w:top w:val="single" w:sz="4" w:space="1" w:color="auto"/>
          <w:left w:val="single" w:sz="4" w:space="4" w:color="auto"/>
          <w:bottom w:val="single" w:sz="4" w:space="1" w:color="auto"/>
          <w:right w:val="single" w:sz="4" w:space="4" w:color="auto"/>
        </w:pBdr>
        <w:shd w:val="clear" w:color="auto" w:fill="EBEBEB" w:themeFill="background2"/>
        <w:rPr>
          <w:b/>
          <w:bCs/>
        </w:rPr>
      </w:pPr>
      <w:r w:rsidRPr="00FB17BF">
        <w:rPr>
          <w:b/>
          <w:bCs/>
        </w:rPr>
        <w:t>Sorumluluk Reddi:</w:t>
      </w:r>
    </w:p>
    <w:p w:rsidR="00282C01" w:rsidRPr="009B4C7C" w:rsidRDefault="00282C01" w:rsidP="00282C01">
      <w:pPr>
        <w:pBdr>
          <w:top w:val="single" w:sz="4" w:space="1" w:color="auto"/>
          <w:left w:val="single" w:sz="4" w:space="4" w:color="auto"/>
          <w:bottom w:val="single" w:sz="4" w:space="1" w:color="auto"/>
          <w:right w:val="single" w:sz="4" w:space="4" w:color="auto"/>
        </w:pBdr>
        <w:shd w:val="clear" w:color="auto" w:fill="EBEBEB" w:themeFill="background2"/>
      </w:pPr>
      <w:r>
        <w:t xml:space="preserve">Bu bilgi notu, Avrupa Birliği İnsan Hakları ve Demokrasi hibe programı kapsamında desteklenen Evrensel Periyodik İnceleme Tavsiyelerinin Uygulanmasının İzlenmesi projesi kapsamında Kapasite Geliştirme Derneği tarafından hazırlanmıştır.  Avrupa Birliği, Bilgi Notunun içeriğinden hiçbir biçimde sorumlu kılınamaz. </w:t>
      </w:r>
    </w:p>
    <w:p w:rsidR="00282C01" w:rsidRDefault="00282C01" w:rsidP="00874D3D">
      <w:bookmarkStart w:id="0" w:name="_GoBack"/>
      <w:bookmarkEnd w:id="0"/>
    </w:p>
    <w:sectPr w:rsidR="00282C01" w:rsidSect="00531F6E">
      <w:headerReference w:type="default" r:id="rId18"/>
      <w:type w:val="continuous"/>
      <w:pgSz w:w="11910" w:h="16840"/>
      <w:pgMar w:top="980" w:right="1060" w:bottom="1200" w:left="1100" w:header="0" w:footer="8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3A18" w:rsidRDefault="003F3A18" w:rsidP="005A7992">
      <w:pPr>
        <w:spacing w:after="0"/>
      </w:pPr>
      <w:r>
        <w:separator/>
      </w:r>
    </w:p>
  </w:endnote>
  <w:endnote w:type="continuationSeparator" w:id="0">
    <w:p w:rsidR="003F3A18" w:rsidRDefault="003F3A18" w:rsidP="005A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OpenSymbol">
    <w:altName w:val="Calibri"/>
    <w:charset w:val="01"/>
    <w:family w:val="auto"/>
    <w:pitch w:val="variable"/>
  </w:font>
  <w:font w:name="Century Gothic">
    <w:panose1 w:val="020B0502020202020204"/>
    <w:charset w:val="A2"/>
    <w:family w:val="swiss"/>
    <w:pitch w:val="variable"/>
    <w:sig w:usb0="00000287" w:usb1="00000000" w:usb2="00000000" w:usb3="00000000" w:csb0="0000009F" w:csb1="00000000"/>
  </w:font>
  <w:font w:name="Verdana Pro Cond">
    <w:altName w:val="Arial"/>
    <w:charset w:val="00"/>
    <w:family w:val="swiss"/>
    <w:pitch w:val="variable"/>
    <w:sig w:usb0="80000287" w:usb1="00000043" w:usb2="00000000" w:usb3="00000000" w:csb0="0000009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3A18" w:rsidRDefault="003F3A18" w:rsidP="005A7992">
      <w:pPr>
        <w:spacing w:after="0"/>
      </w:pPr>
      <w:r>
        <w:separator/>
      </w:r>
    </w:p>
  </w:footnote>
  <w:footnote w:type="continuationSeparator" w:id="0">
    <w:p w:rsidR="003F3A18" w:rsidRDefault="003F3A18" w:rsidP="005A7992">
      <w:pPr>
        <w:spacing w:after="0"/>
      </w:pPr>
      <w:r>
        <w:continuationSeparator/>
      </w:r>
    </w:p>
  </w:footnote>
  <w:footnote w:id="1">
    <w:p w:rsidR="0011012F" w:rsidRPr="00334DC1" w:rsidRDefault="0011012F" w:rsidP="00334DC1">
      <w:pPr>
        <w:pStyle w:val="AltBilgi"/>
      </w:pPr>
      <w:r>
        <w:rPr>
          <w:rStyle w:val="DipnotBavurusu"/>
        </w:rPr>
        <w:footnoteRef/>
      </w:r>
      <w:r>
        <w:t xml:space="preserve"> </w:t>
      </w:r>
      <w:r w:rsidRPr="00334DC1">
        <w:t xml:space="preserve">21 Temmuz 2016-20 Mart 2018 Olağanüstü Hal Uygulamaları: Güncellenmiş Durum Raporu; Yayınlama Tarihi: 17 Nisan 2018; Yayın Sahibi: İnsan Hakları Ortak Platformu Sh.10, erişim: </w:t>
      </w:r>
      <w:hyperlink r:id="rId1" w:history="1">
        <w:r w:rsidRPr="00334DC1">
          <w:rPr>
            <w:rStyle w:val="Kpr"/>
          </w:rPr>
          <w:t>http://www.ihop.org.tr/wp-content/uploads/2018/04/Ola%C4%9Fan%C3%BCst%C3%BC-Hal_17042018.pdf</w:t>
        </w:r>
      </w:hyperlink>
    </w:p>
  </w:footnote>
  <w:footnote w:id="2">
    <w:p w:rsidR="00334DC1" w:rsidRPr="00334DC1" w:rsidRDefault="00334DC1" w:rsidP="00334DC1">
      <w:pPr>
        <w:pStyle w:val="AltBilgi"/>
      </w:pPr>
      <w:r w:rsidRPr="00334DC1">
        <w:rPr>
          <w:rStyle w:val="DipnotBavurusu"/>
        </w:rPr>
        <w:footnoteRef/>
      </w:r>
      <w:r w:rsidRPr="00334DC1">
        <w:t xml:space="preserve"> </w:t>
      </w:r>
      <w:proofErr w:type="spellStart"/>
      <w:r w:rsidRPr="00334DC1">
        <w:rPr>
          <w:sz w:val="20"/>
          <w:szCs w:val="20"/>
        </w:rPr>
        <w:t>Opinion</w:t>
      </w:r>
      <w:proofErr w:type="spellEnd"/>
      <w:r w:rsidRPr="00334DC1">
        <w:rPr>
          <w:sz w:val="20"/>
          <w:szCs w:val="20"/>
        </w:rPr>
        <w:t xml:space="preserve"> on </w:t>
      </w:r>
      <w:proofErr w:type="spellStart"/>
      <w:r w:rsidRPr="00334DC1">
        <w:rPr>
          <w:sz w:val="20"/>
          <w:szCs w:val="20"/>
        </w:rPr>
        <w:t>articles</w:t>
      </w:r>
      <w:proofErr w:type="spellEnd"/>
      <w:r w:rsidRPr="00334DC1">
        <w:rPr>
          <w:sz w:val="20"/>
          <w:szCs w:val="20"/>
        </w:rPr>
        <w:t xml:space="preserve"> 216, 299, 301 </w:t>
      </w:r>
      <w:proofErr w:type="spellStart"/>
      <w:r w:rsidRPr="00334DC1">
        <w:rPr>
          <w:sz w:val="20"/>
          <w:szCs w:val="20"/>
        </w:rPr>
        <w:t>and</w:t>
      </w:r>
      <w:proofErr w:type="spellEnd"/>
      <w:r w:rsidRPr="00334DC1">
        <w:rPr>
          <w:sz w:val="20"/>
          <w:szCs w:val="20"/>
        </w:rPr>
        <w:t xml:space="preserve"> 314 of </w:t>
      </w:r>
      <w:proofErr w:type="spellStart"/>
      <w:r w:rsidRPr="00334DC1">
        <w:rPr>
          <w:sz w:val="20"/>
          <w:szCs w:val="20"/>
        </w:rPr>
        <w:t>the</w:t>
      </w:r>
      <w:proofErr w:type="spellEnd"/>
      <w:r w:rsidRPr="00334DC1">
        <w:rPr>
          <w:sz w:val="20"/>
          <w:szCs w:val="20"/>
        </w:rPr>
        <w:t xml:space="preserve"> </w:t>
      </w:r>
      <w:proofErr w:type="spellStart"/>
      <w:r w:rsidRPr="00334DC1">
        <w:rPr>
          <w:sz w:val="20"/>
          <w:szCs w:val="20"/>
        </w:rPr>
        <w:t>Penal</w:t>
      </w:r>
      <w:proofErr w:type="spellEnd"/>
      <w:r w:rsidRPr="00334DC1">
        <w:rPr>
          <w:sz w:val="20"/>
          <w:szCs w:val="20"/>
        </w:rPr>
        <w:t xml:space="preserve"> </w:t>
      </w:r>
      <w:proofErr w:type="spellStart"/>
      <w:r w:rsidRPr="00334DC1">
        <w:rPr>
          <w:sz w:val="20"/>
          <w:szCs w:val="20"/>
        </w:rPr>
        <w:t>Code</w:t>
      </w:r>
      <w:proofErr w:type="spellEnd"/>
      <w:r w:rsidRPr="00334DC1">
        <w:rPr>
          <w:sz w:val="20"/>
          <w:szCs w:val="20"/>
        </w:rPr>
        <w:t xml:space="preserve"> of </w:t>
      </w:r>
      <w:proofErr w:type="spellStart"/>
      <w:r w:rsidRPr="00334DC1">
        <w:rPr>
          <w:sz w:val="20"/>
          <w:szCs w:val="20"/>
        </w:rPr>
        <w:t>Turkey</w:t>
      </w:r>
      <w:proofErr w:type="spellEnd"/>
      <w:r w:rsidRPr="00334DC1">
        <w:rPr>
          <w:sz w:val="20"/>
          <w:szCs w:val="20"/>
        </w:rPr>
        <w:t xml:space="preserve">, </w:t>
      </w:r>
      <w:proofErr w:type="spellStart"/>
      <w:r w:rsidRPr="00334DC1">
        <w:rPr>
          <w:sz w:val="20"/>
          <w:szCs w:val="20"/>
        </w:rPr>
        <w:t>adopted</w:t>
      </w:r>
      <w:proofErr w:type="spellEnd"/>
      <w:r w:rsidRPr="00334DC1">
        <w:rPr>
          <w:sz w:val="20"/>
          <w:szCs w:val="20"/>
        </w:rPr>
        <w:t xml:space="preserve"> </w:t>
      </w:r>
      <w:proofErr w:type="spellStart"/>
      <w:r w:rsidRPr="00334DC1">
        <w:rPr>
          <w:sz w:val="20"/>
          <w:szCs w:val="20"/>
        </w:rPr>
        <w:t>by</w:t>
      </w:r>
      <w:proofErr w:type="spellEnd"/>
      <w:r w:rsidRPr="00334DC1">
        <w:rPr>
          <w:sz w:val="20"/>
          <w:szCs w:val="20"/>
        </w:rPr>
        <w:t xml:space="preserve"> </w:t>
      </w:r>
      <w:proofErr w:type="spellStart"/>
      <w:r w:rsidRPr="00334DC1">
        <w:rPr>
          <w:sz w:val="20"/>
          <w:szCs w:val="20"/>
        </w:rPr>
        <w:t>the</w:t>
      </w:r>
      <w:proofErr w:type="spellEnd"/>
      <w:r w:rsidRPr="00334DC1">
        <w:rPr>
          <w:sz w:val="20"/>
          <w:szCs w:val="20"/>
        </w:rPr>
        <w:t xml:space="preserve"> </w:t>
      </w:r>
      <w:proofErr w:type="spellStart"/>
      <w:r w:rsidRPr="00334DC1">
        <w:rPr>
          <w:sz w:val="20"/>
          <w:szCs w:val="20"/>
        </w:rPr>
        <w:t>Venice</w:t>
      </w:r>
      <w:proofErr w:type="spellEnd"/>
      <w:r w:rsidRPr="00334DC1">
        <w:rPr>
          <w:sz w:val="20"/>
          <w:szCs w:val="20"/>
        </w:rPr>
        <w:t xml:space="preserve"> </w:t>
      </w:r>
      <w:proofErr w:type="spellStart"/>
      <w:r w:rsidRPr="00334DC1">
        <w:rPr>
          <w:sz w:val="20"/>
          <w:szCs w:val="20"/>
        </w:rPr>
        <w:t>Commission</w:t>
      </w:r>
      <w:proofErr w:type="spellEnd"/>
      <w:r w:rsidRPr="00334DC1">
        <w:rPr>
          <w:sz w:val="20"/>
          <w:szCs w:val="20"/>
        </w:rPr>
        <w:t xml:space="preserve"> at </w:t>
      </w:r>
      <w:proofErr w:type="spellStart"/>
      <w:r w:rsidRPr="00334DC1">
        <w:rPr>
          <w:sz w:val="20"/>
          <w:szCs w:val="20"/>
        </w:rPr>
        <w:t>its</w:t>
      </w:r>
      <w:proofErr w:type="spellEnd"/>
      <w:r w:rsidRPr="00334DC1">
        <w:rPr>
          <w:sz w:val="20"/>
          <w:szCs w:val="20"/>
        </w:rPr>
        <w:t xml:space="preserve"> 106th </w:t>
      </w:r>
      <w:proofErr w:type="spellStart"/>
      <w:r w:rsidRPr="00334DC1">
        <w:rPr>
          <w:sz w:val="20"/>
          <w:szCs w:val="20"/>
        </w:rPr>
        <w:t>plenary</w:t>
      </w:r>
      <w:proofErr w:type="spellEnd"/>
      <w:r w:rsidRPr="00334DC1">
        <w:rPr>
          <w:sz w:val="20"/>
          <w:szCs w:val="20"/>
        </w:rPr>
        <w:t xml:space="preserve"> </w:t>
      </w:r>
      <w:proofErr w:type="spellStart"/>
      <w:r w:rsidRPr="00334DC1">
        <w:rPr>
          <w:sz w:val="20"/>
          <w:szCs w:val="20"/>
        </w:rPr>
        <w:t>session</w:t>
      </w:r>
      <w:proofErr w:type="spellEnd"/>
      <w:r w:rsidRPr="00334DC1">
        <w:rPr>
          <w:sz w:val="20"/>
          <w:szCs w:val="20"/>
        </w:rPr>
        <w:t xml:space="preserve"> (</w:t>
      </w:r>
      <w:proofErr w:type="spellStart"/>
      <w:r w:rsidRPr="00334DC1">
        <w:rPr>
          <w:sz w:val="20"/>
          <w:szCs w:val="20"/>
        </w:rPr>
        <w:t>Venice</w:t>
      </w:r>
      <w:proofErr w:type="spellEnd"/>
      <w:r w:rsidRPr="00334DC1">
        <w:rPr>
          <w:sz w:val="20"/>
          <w:szCs w:val="20"/>
        </w:rPr>
        <w:t xml:space="preserve">, 11-12 </w:t>
      </w:r>
      <w:proofErr w:type="spellStart"/>
      <w:r w:rsidRPr="00334DC1">
        <w:rPr>
          <w:sz w:val="20"/>
          <w:szCs w:val="20"/>
        </w:rPr>
        <w:t>March</w:t>
      </w:r>
      <w:proofErr w:type="spellEnd"/>
      <w:r w:rsidRPr="00334DC1">
        <w:rPr>
          <w:sz w:val="20"/>
          <w:szCs w:val="20"/>
        </w:rPr>
        <w:t xml:space="preserve"> 2016); erişim </w:t>
      </w:r>
      <w:hyperlink r:id="rId2" w:history="1">
        <w:r w:rsidRPr="00334DC1">
          <w:rPr>
            <w:rStyle w:val="Kpr"/>
            <w:sz w:val="20"/>
            <w:szCs w:val="20"/>
          </w:rPr>
          <w:t>https://www.venice.coe.int/webforms/documents/?pdf=CDL-AD(2016)002-e</w:t>
        </w:r>
      </w:hyperlink>
      <w:r w:rsidRPr="00334DC1">
        <w:rPr>
          <w:rStyle w:val="Kpr"/>
          <w:sz w:val="20"/>
          <w:szCs w:val="20"/>
        </w:rPr>
        <w:t xml:space="preserve"> </w:t>
      </w:r>
    </w:p>
  </w:footnote>
  <w:footnote w:id="3">
    <w:p w:rsidR="00535A6A" w:rsidRPr="00334DC1" w:rsidRDefault="00535A6A" w:rsidP="00334DC1">
      <w:pPr>
        <w:pStyle w:val="AltBilgi"/>
      </w:pPr>
      <w:r w:rsidRPr="00334DC1">
        <w:rPr>
          <w:rStyle w:val="DipnotBavurusu"/>
        </w:rPr>
        <w:footnoteRef/>
      </w:r>
      <w:r w:rsidRPr="00334DC1">
        <w:t xml:space="preserve"> OPINION ON THE MEASURES PROVIDED IN THE RECENT EMERGENCY DECREE LAWS WITH RESPECT TO FREEDOM OF THE MEDIA, </w:t>
      </w:r>
      <w:proofErr w:type="spellStart"/>
      <w:r w:rsidRPr="00334DC1">
        <w:t>Venice</w:t>
      </w:r>
      <w:proofErr w:type="spellEnd"/>
      <w:r w:rsidRPr="00334DC1">
        <w:t xml:space="preserve"> </w:t>
      </w:r>
      <w:proofErr w:type="spellStart"/>
      <w:r w:rsidRPr="00334DC1">
        <w:t>Commission</w:t>
      </w:r>
      <w:proofErr w:type="spellEnd"/>
      <w:r w:rsidRPr="00334DC1">
        <w:t xml:space="preserve">, </w:t>
      </w:r>
      <w:proofErr w:type="spellStart"/>
      <w:r w:rsidRPr="00334DC1">
        <w:t>Adopted</w:t>
      </w:r>
      <w:proofErr w:type="spellEnd"/>
      <w:r w:rsidRPr="00334DC1">
        <w:t xml:space="preserve"> </w:t>
      </w:r>
      <w:proofErr w:type="spellStart"/>
      <w:r w:rsidRPr="00334DC1">
        <w:t>by</w:t>
      </w:r>
      <w:proofErr w:type="spellEnd"/>
      <w:r w:rsidRPr="00334DC1">
        <w:t xml:space="preserve"> </w:t>
      </w:r>
      <w:proofErr w:type="spellStart"/>
      <w:r w:rsidRPr="00334DC1">
        <w:t>the</w:t>
      </w:r>
      <w:proofErr w:type="spellEnd"/>
      <w:r w:rsidRPr="00334DC1">
        <w:t xml:space="preserve"> </w:t>
      </w:r>
      <w:proofErr w:type="spellStart"/>
      <w:r w:rsidRPr="00334DC1">
        <w:t>Commission</w:t>
      </w:r>
      <w:proofErr w:type="spellEnd"/>
      <w:r w:rsidRPr="00334DC1">
        <w:t xml:space="preserve"> at </w:t>
      </w:r>
      <w:proofErr w:type="spellStart"/>
      <w:r w:rsidRPr="00334DC1">
        <w:t>its</w:t>
      </w:r>
      <w:proofErr w:type="spellEnd"/>
      <w:r w:rsidRPr="00334DC1">
        <w:t xml:space="preserve"> 110th </w:t>
      </w:r>
      <w:proofErr w:type="spellStart"/>
      <w:r w:rsidRPr="00334DC1">
        <w:t>Plenary</w:t>
      </w:r>
      <w:proofErr w:type="spellEnd"/>
      <w:r w:rsidRPr="00334DC1">
        <w:t xml:space="preserve"> </w:t>
      </w:r>
      <w:proofErr w:type="spellStart"/>
      <w:r w:rsidRPr="00334DC1">
        <w:t>Session</w:t>
      </w:r>
      <w:proofErr w:type="spellEnd"/>
      <w:r w:rsidRPr="00334DC1">
        <w:t xml:space="preserve"> (</w:t>
      </w:r>
      <w:proofErr w:type="spellStart"/>
      <w:r w:rsidRPr="00334DC1">
        <w:t>Venice</w:t>
      </w:r>
      <w:proofErr w:type="spellEnd"/>
      <w:r w:rsidRPr="00334DC1">
        <w:t xml:space="preserve">, 10-11 </w:t>
      </w:r>
      <w:proofErr w:type="spellStart"/>
      <w:r w:rsidRPr="00334DC1">
        <w:t>March</w:t>
      </w:r>
      <w:proofErr w:type="spellEnd"/>
      <w:r w:rsidRPr="00334DC1">
        <w:t xml:space="preserve"> 2017); erişim: </w:t>
      </w:r>
      <w:hyperlink r:id="rId3" w:history="1">
        <w:r w:rsidRPr="00334DC1">
          <w:rPr>
            <w:rStyle w:val="Kpr"/>
          </w:rPr>
          <w:t>https://www.venice.coe.int/webforms/documents/?pdf=CDL-AD(2017)007-e</w:t>
        </w:r>
      </w:hyperlink>
    </w:p>
  </w:footnote>
  <w:footnote w:id="4">
    <w:p w:rsidR="008D0170" w:rsidRPr="00334DC1" w:rsidRDefault="008D0170" w:rsidP="00334DC1">
      <w:pPr>
        <w:pStyle w:val="AltBilgi"/>
      </w:pPr>
      <w:r w:rsidRPr="00334DC1">
        <w:rPr>
          <w:rStyle w:val="DipnotBavurusu"/>
        </w:rPr>
        <w:footnoteRef/>
      </w:r>
      <w:r w:rsidRPr="00334DC1">
        <w:t xml:space="preserve"> </w:t>
      </w:r>
      <w:proofErr w:type="spellStart"/>
      <w:proofErr w:type="gramStart"/>
      <w:r w:rsidRPr="00334DC1">
        <w:rPr>
          <w:sz w:val="20"/>
          <w:szCs w:val="20"/>
        </w:rPr>
        <w:t>Turkey</w:t>
      </w:r>
      <w:proofErr w:type="spellEnd"/>
      <w:r w:rsidRPr="00334DC1">
        <w:rPr>
          <w:sz w:val="20"/>
          <w:szCs w:val="20"/>
        </w:rPr>
        <w:t xml:space="preserve"> -</w:t>
      </w:r>
      <w:proofErr w:type="gramEnd"/>
      <w:r w:rsidRPr="00334DC1">
        <w:rPr>
          <w:sz w:val="20"/>
          <w:szCs w:val="20"/>
        </w:rPr>
        <w:t xml:space="preserve"> </w:t>
      </w:r>
      <w:proofErr w:type="spellStart"/>
      <w:r w:rsidRPr="00334DC1">
        <w:rPr>
          <w:sz w:val="20"/>
          <w:szCs w:val="20"/>
        </w:rPr>
        <w:t>Opinion</w:t>
      </w:r>
      <w:proofErr w:type="spellEnd"/>
      <w:r w:rsidRPr="00334DC1">
        <w:rPr>
          <w:sz w:val="20"/>
          <w:szCs w:val="20"/>
        </w:rPr>
        <w:t xml:space="preserve"> on </w:t>
      </w:r>
      <w:proofErr w:type="spellStart"/>
      <w:r w:rsidRPr="00334DC1">
        <w:rPr>
          <w:sz w:val="20"/>
          <w:szCs w:val="20"/>
        </w:rPr>
        <w:t>Law</w:t>
      </w:r>
      <w:proofErr w:type="spellEnd"/>
      <w:r w:rsidRPr="00334DC1">
        <w:rPr>
          <w:sz w:val="20"/>
          <w:szCs w:val="20"/>
        </w:rPr>
        <w:t xml:space="preserve"> No. 5651 on </w:t>
      </w:r>
      <w:proofErr w:type="spellStart"/>
      <w:r w:rsidRPr="00334DC1">
        <w:rPr>
          <w:sz w:val="20"/>
          <w:szCs w:val="20"/>
        </w:rPr>
        <w:t>regulation</w:t>
      </w:r>
      <w:proofErr w:type="spellEnd"/>
      <w:r w:rsidRPr="00334DC1">
        <w:rPr>
          <w:sz w:val="20"/>
          <w:szCs w:val="20"/>
        </w:rPr>
        <w:t xml:space="preserve"> of </w:t>
      </w:r>
      <w:proofErr w:type="spellStart"/>
      <w:r w:rsidRPr="00334DC1">
        <w:rPr>
          <w:sz w:val="20"/>
          <w:szCs w:val="20"/>
        </w:rPr>
        <w:t>publications</w:t>
      </w:r>
      <w:proofErr w:type="spellEnd"/>
      <w:r w:rsidRPr="00334DC1">
        <w:rPr>
          <w:sz w:val="20"/>
          <w:szCs w:val="20"/>
        </w:rPr>
        <w:t xml:space="preserve"> on </w:t>
      </w:r>
      <w:proofErr w:type="spellStart"/>
      <w:r w:rsidRPr="00334DC1">
        <w:rPr>
          <w:sz w:val="20"/>
          <w:szCs w:val="20"/>
        </w:rPr>
        <w:t>the</w:t>
      </w:r>
      <w:proofErr w:type="spellEnd"/>
      <w:r w:rsidRPr="00334DC1">
        <w:rPr>
          <w:sz w:val="20"/>
          <w:szCs w:val="20"/>
        </w:rPr>
        <w:t xml:space="preserve"> Internet </w:t>
      </w:r>
      <w:proofErr w:type="spellStart"/>
      <w:r w:rsidRPr="00334DC1">
        <w:rPr>
          <w:sz w:val="20"/>
          <w:szCs w:val="20"/>
        </w:rPr>
        <w:t>and</w:t>
      </w:r>
      <w:proofErr w:type="spellEnd"/>
      <w:r w:rsidRPr="00334DC1">
        <w:rPr>
          <w:sz w:val="20"/>
          <w:szCs w:val="20"/>
        </w:rPr>
        <w:t xml:space="preserve"> </w:t>
      </w:r>
      <w:proofErr w:type="spellStart"/>
      <w:r w:rsidRPr="00334DC1">
        <w:rPr>
          <w:sz w:val="20"/>
          <w:szCs w:val="20"/>
        </w:rPr>
        <w:t>combating</w:t>
      </w:r>
      <w:proofErr w:type="spellEnd"/>
      <w:r w:rsidRPr="00334DC1">
        <w:rPr>
          <w:sz w:val="20"/>
          <w:szCs w:val="20"/>
        </w:rPr>
        <w:t xml:space="preserve"> </w:t>
      </w:r>
      <w:proofErr w:type="spellStart"/>
      <w:r w:rsidRPr="00334DC1">
        <w:rPr>
          <w:sz w:val="20"/>
          <w:szCs w:val="20"/>
        </w:rPr>
        <w:t>crimes</w:t>
      </w:r>
      <w:proofErr w:type="spellEnd"/>
      <w:r w:rsidRPr="00334DC1">
        <w:rPr>
          <w:sz w:val="20"/>
          <w:szCs w:val="20"/>
        </w:rPr>
        <w:t xml:space="preserve"> </w:t>
      </w:r>
      <w:proofErr w:type="spellStart"/>
      <w:r w:rsidRPr="00334DC1">
        <w:rPr>
          <w:sz w:val="20"/>
          <w:szCs w:val="20"/>
        </w:rPr>
        <w:t>committed</w:t>
      </w:r>
      <w:proofErr w:type="spellEnd"/>
      <w:r w:rsidRPr="00334DC1">
        <w:rPr>
          <w:sz w:val="20"/>
          <w:szCs w:val="20"/>
        </w:rPr>
        <w:t xml:space="preserve"> </w:t>
      </w:r>
      <w:proofErr w:type="spellStart"/>
      <w:r w:rsidRPr="00334DC1">
        <w:rPr>
          <w:sz w:val="20"/>
          <w:szCs w:val="20"/>
        </w:rPr>
        <w:t>by</w:t>
      </w:r>
      <w:proofErr w:type="spellEnd"/>
      <w:r w:rsidRPr="00334DC1">
        <w:rPr>
          <w:sz w:val="20"/>
          <w:szCs w:val="20"/>
        </w:rPr>
        <w:t xml:space="preserve"> </w:t>
      </w:r>
      <w:proofErr w:type="spellStart"/>
      <w:r w:rsidRPr="00334DC1">
        <w:rPr>
          <w:sz w:val="20"/>
          <w:szCs w:val="20"/>
        </w:rPr>
        <w:t>means</w:t>
      </w:r>
      <w:proofErr w:type="spellEnd"/>
      <w:r w:rsidRPr="00334DC1">
        <w:rPr>
          <w:sz w:val="20"/>
          <w:szCs w:val="20"/>
        </w:rPr>
        <w:t xml:space="preserve"> of </w:t>
      </w:r>
      <w:proofErr w:type="spellStart"/>
      <w:r w:rsidRPr="00334DC1">
        <w:rPr>
          <w:sz w:val="20"/>
          <w:szCs w:val="20"/>
        </w:rPr>
        <w:t>such</w:t>
      </w:r>
      <w:proofErr w:type="spellEnd"/>
      <w:r w:rsidRPr="00334DC1">
        <w:rPr>
          <w:sz w:val="20"/>
          <w:szCs w:val="20"/>
        </w:rPr>
        <w:t xml:space="preserve"> </w:t>
      </w:r>
      <w:proofErr w:type="spellStart"/>
      <w:r w:rsidRPr="00334DC1">
        <w:rPr>
          <w:sz w:val="20"/>
          <w:szCs w:val="20"/>
        </w:rPr>
        <w:t>publication</w:t>
      </w:r>
      <w:proofErr w:type="spellEnd"/>
      <w:r w:rsidRPr="00334DC1">
        <w:rPr>
          <w:sz w:val="20"/>
          <w:szCs w:val="20"/>
        </w:rPr>
        <w:t xml:space="preserve"> ("</w:t>
      </w:r>
      <w:proofErr w:type="spellStart"/>
      <w:r w:rsidRPr="00334DC1">
        <w:rPr>
          <w:sz w:val="20"/>
          <w:szCs w:val="20"/>
        </w:rPr>
        <w:t>the</w:t>
      </w:r>
      <w:proofErr w:type="spellEnd"/>
      <w:r w:rsidRPr="00334DC1">
        <w:rPr>
          <w:sz w:val="20"/>
          <w:szCs w:val="20"/>
        </w:rPr>
        <w:t xml:space="preserve"> Internet </w:t>
      </w:r>
      <w:proofErr w:type="spellStart"/>
      <w:r w:rsidRPr="00334DC1">
        <w:rPr>
          <w:sz w:val="20"/>
          <w:szCs w:val="20"/>
        </w:rPr>
        <w:t>Law</w:t>
      </w:r>
      <w:proofErr w:type="spellEnd"/>
      <w:r w:rsidRPr="00334DC1">
        <w:rPr>
          <w:sz w:val="20"/>
          <w:szCs w:val="20"/>
        </w:rPr>
        <w:t xml:space="preserve">") </w:t>
      </w:r>
      <w:proofErr w:type="spellStart"/>
      <w:r w:rsidRPr="00334DC1">
        <w:rPr>
          <w:sz w:val="20"/>
          <w:szCs w:val="20"/>
        </w:rPr>
        <w:t>adopted</w:t>
      </w:r>
      <w:proofErr w:type="spellEnd"/>
      <w:r w:rsidRPr="00334DC1">
        <w:rPr>
          <w:sz w:val="20"/>
          <w:szCs w:val="20"/>
        </w:rPr>
        <w:t xml:space="preserve"> </w:t>
      </w:r>
      <w:proofErr w:type="spellStart"/>
      <w:r w:rsidRPr="00334DC1">
        <w:rPr>
          <w:sz w:val="20"/>
          <w:szCs w:val="20"/>
        </w:rPr>
        <w:t>by</w:t>
      </w:r>
      <w:proofErr w:type="spellEnd"/>
      <w:r w:rsidRPr="00334DC1">
        <w:rPr>
          <w:sz w:val="20"/>
          <w:szCs w:val="20"/>
        </w:rPr>
        <w:t xml:space="preserve"> </w:t>
      </w:r>
      <w:proofErr w:type="spellStart"/>
      <w:r w:rsidRPr="00334DC1">
        <w:rPr>
          <w:sz w:val="20"/>
          <w:szCs w:val="20"/>
        </w:rPr>
        <w:t>the</w:t>
      </w:r>
      <w:proofErr w:type="spellEnd"/>
      <w:r w:rsidRPr="00334DC1">
        <w:rPr>
          <w:sz w:val="20"/>
          <w:szCs w:val="20"/>
        </w:rPr>
        <w:t xml:space="preserve"> </w:t>
      </w:r>
      <w:proofErr w:type="spellStart"/>
      <w:r w:rsidRPr="00334DC1">
        <w:rPr>
          <w:sz w:val="20"/>
          <w:szCs w:val="20"/>
        </w:rPr>
        <w:t>Venice</w:t>
      </w:r>
      <w:proofErr w:type="spellEnd"/>
      <w:r w:rsidRPr="00334DC1">
        <w:rPr>
          <w:sz w:val="20"/>
          <w:szCs w:val="20"/>
        </w:rPr>
        <w:t xml:space="preserve"> </w:t>
      </w:r>
      <w:proofErr w:type="spellStart"/>
      <w:r w:rsidRPr="00334DC1">
        <w:rPr>
          <w:sz w:val="20"/>
          <w:szCs w:val="20"/>
        </w:rPr>
        <w:t>Commission</w:t>
      </w:r>
      <w:proofErr w:type="spellEnd"/>
      <w:r w:rsidRPr="00334DC1">
        <w:rPr>
          <w:sz w:val="20"/>
          <w:szCs w:val="20"/>
        </w:rPr>
        <w:t xml:space="preserve"> at </w:t>
      </w:r>
      <w:proofErr w:type="spellStart"/>
      <w:r w:rsidRPr="00334DC1">
        <w:rPr>
          <w:sz w:val="20"/>
          <w:szCs w:val="20"/>
        </w:rPr>
        <w:t>its</w:t>
      </w:r>
      <w:proofErr w:type="spellEnd"/>
      <w:r w:rsidRPr="00334DC1">
        <w:rPr>
          <w:sz w:val="20"/>
          <w:szCs w:val="20"/>
        </w:rPr>
        <w:t xml:space="preserve"> 107th </w:t>
      </w:r>
      <w:proofErr w:type="spellStart"/>
      <w:r w:rsidRPr="00334DC1">
        <w:rPr>
          <w:sz w:val="20"/>
          <w:szCs w:val="20"/>
        </w:rPr>
        <w:t>Plenary</w:t>
      </w:r>
      <w:proofErr w:type="spellEnd"/>
      <w:r w:rsidRPr="00334DC1">
        <w:rPr>
          <w:sz w:val="20"/>
          <w:szCs w:val="20"/>
        </w:rPr>
        <w:t xml:space="preserve"> </w:t>
      </w:r>
      <w:proofErr w:type="spellStart"/>
      <w:r w:rsidRPr="00334DC1">
        <w:rPr>
          <w:sz w:val="20"/>
          <w:szCs w:val="20"/>
        </w:rPr>
        <w:t>Session</w:t>
      </w:r>
      <w:proofErr w:type="spellEnd"/>
      <w:r w:rsidRPr="00334DC1">
        <w:rPr>
          <w:sz w:val="20"/>
          <w:szCs w:val="20"/>
        </w:rPr>
        <w:t xml:space="preserve"> (</w:t>
      </w:r>
      <w:proofErr w:type="spellStart"/>
      <w:r w:rsidRPr="00334DC1">
        <w:rPr>
          <w:sz w:val="20"/>
          <w:szCs w:val="20"/>
        </w:rPr>
        <w:t>Venice</w:t>
      </w:r>
      <w:proofErr w:type="spellEnd"/>
      <w:r w:rsidRPr="00334DC1">
        <w:rPr>
          <w:sz w:val="20"/>
          <w:szCs w:val="20"/>
        </w:rPr>
        <w:t xml:space="preserve">, 10-11 </w:t>
      </w:r>
      <w:proofErr w:type="spellStart"/>
      <w:r w:rsidRPr="00334DC1">
        <w:rPr>
          <w:sz w:val="20"/>
          <w:szCs w:val="20"/>
        </w:rPr>
        <w:t>June</w:t>
      </w:r>
      <w:proofErr w:type="spellEnd"/>
      <w:r w:rsidRPr="00334DC1">
        <w:rPr>
          <w:sz w:val="20"/>
          <w:szCs w:val="20"/>
        </w:rPr>
        <w:t xml:space="preserve"> 2016)</w:t>
      </w:r>
      <w:r w:rsidR="00874D3D" w:rsidRPr="00334DC1">
        <w:rPr>
          <w:sz w:val="20"/>
          <w:szCs w:val="20"/>
        </w:rPr>
        <w:t>.</w:t>
      </w:r>
      <w:r w:rsidRPr="00334DC1">
        <w:rPr>
          <w:sz w:val="20"/>
          <w:szCs w:val="20"/>
        </w:rPr>
        <w:t xml:space="preserve"> </w:t>
      </w:r>
      <w:r w:rsidR="00874D3D" w:rsidRPr="00334DC1">
        <w:rPr>
          <w:sz w:val="20"/>
          <w:szCs w:val="20"/>
        </w:rPr>
        <w:t>E</w:t>
      </w:r>
      <w:r w:rsidRPr="00334DC1">
        <w:rPr>
          <w:sz w:val="20"/>
          <w:szCs w:val="20"/>
        </w:rPr>
        <w:t xml:space="preserve">rişim: </w:t>
      </w:r>
      <w:hyperlink r:id="rId4" w:history="1">
        <w:r w:rsidRPr="00334DC1">
          <w:rPr>
            <w:rStyle w:val="Kpr"/>
            <w:sz w:val="20"/>
            <w:szCs w:val="20"/>
          </w:rPr>
          <w:t>https://www.venice.coe.int/webforms/documents/?pdf=CDL-AD(2016)011-e</w:t>
        </w:r>
      </w:hyperlink>
      <w:r w:rsidRPr="00334DC1">
        <w:rPr>
          <w:rStyle w:val="Kpr"/>
          <w:sz w:val="20"/>
          <w:szCs w:val="20"/>
        </w:rPr>
        <w:t xml:space="preserve"> </w:t>
      </w:r>
    </w:p>
  </w:footnote>
  <w:footnote w:id="5">
    <w:p w:rsidR="008D0170" w:rsidRDefault="008D0170" w:rsidP="00334DC1">
      <w:pPr>
        <w:pStyle w:val="AltBilgi"/>
      </w:pPr>
      <w:r w:rsidRPr="00334DC1">
        <w:rPr>
          <w:rStyle w:val="DipnotBavurusu"/>
        </w:rPr>
        <w:footnoteRef/>
      </w:r>
      <w:r w:rsidRPr="00334DC1">
        <w:t xml:space="preserve"> </w:t>
      </w:r>
      <w:r w:rsidR="00874D3D" w:rsidRPr="00334DC1">
        <w:t xml:space="preserve">Report of </w:t>
      </w:r>
      <w:proofErr w:type="spellStart"/>
      <w:r w:rsidR="00874D3D" w:rsidRPr="00334DC1">
        <w:t>the</w:t>
      </w:r>
      <w:proofErr w:type="spellEnd"/>
      <w:r w:rsidR="00874D3D" w:rsidRPr="00334DC1">
        <w:t xml:space="preserve"> Special </w:t>
      </w:r>
      <w:proofErr w:type="spellStart"/>
      <w:r w:rsidR="00874D3D" w:rsidRPr="00334DC1">
        <w:t>Rapporteur</w:t>
      </w:r>
      <w:proofErr w:type="spellEnd"/>
      <w:r w:rsidR="00874D3D" w:rsidRPr="00334DC1">
        <w:t xml:space="preserve"> on </w:t>
      </w:r>
      <w:proofErr w:type="spellStart"/>
      <w:r w:rsidR="00874D3D" w:rsidRPr="00334DC1">
        <w:t>the</w:t>
      </w:r>
      <w:proofErr w:type="spellEnd"/>
      <w:r w:rsidR="00874D3D" w:rsidRPr="00334DC1">
        <w:t xml:space="preserve"> </w:t>
      </w:r>
      <w:proofErr w:type="spellStart"/>
      <w:r w:rsidR="00874D3D" w:rsidRPr="00334DC1">
        <w:t>promotion</w:t>
      </w:r>
      <w:proofErr w:type="spellEnd"/>
      <w:r w:rsidR="00874D3D" w:rsidRPr="00334DC1">
        <w:t xml:space="preserve"> </w:t>
      </w:r>
      <w:proofErr w:type="spellStart"/>
      <w:r w:rsidR="00874D3D" w:rsidRPr="00334DC1">
        <w:t>and</w:t>
      </w:r>
      <w:proofErr w:type="spellEnd"/>
      <w:r w:rsidR="00874D3D" w:rsidRPr="00334DC1">
        <w:t xml:space="preserve"> </w:t>
      </w:r>
      <w:proofErr w:type="spellStart"/>
      <w:r w:rsidR="00874D3D" w:rsidRPr="00334DC1">
        <w:t>protection</w:t>
      </w:r>
      <w:proofErr w:type="spellEnd"/>
      <w:r w:rsidR="00874D3D" w:rsidRPr="00334DC1">
        <w:t xml:space="preserve"> of </w:t>
      </w:r>
      <w:proofErr w:type="spellStart"/>
      <w:r w:rsidR="00874D3D" w:rsidRPr="00334DC1">
        <w:t>the</w:t>
      </w:r>
      <w:proofErr w:type="spellEnd"/>
      <w:r w:rsidR="00874D3D" w:rsidRPr="00334DC1">
        <w:t xml:space="preserve"> </w:t>
      </w:r>
      <w:proofErr w:type="spellStart"/>
      <w:r w:rsidR="00874D3D" w:rsidRPr="00334DC1">
        <w:t>right</w:t>
      </w:r>
      <w:proofErr w:type="spellEnd"/>
      <w:r w:rsidR="00874D3D" w:rsidRPr="00334DC1">
        <w:t xml:space="preserve"> to </w:t>
      </w:r>
      <w:proofErr w:type="spellStart"/>
      <w:r w:rsidR="00874D3D" w:rsidRPr="00334DC1">
        <w:t>freedom</w:t>
      </w:r>
      <w:proofErr w:type="spellEnd"/>
      <w:r w:rsidR="00874D3D" w:rsidRPr="00334DC1">
        <w:t xml:space="preserve"> of </w:t>
      </w:r>
      <w:proofErr w:type="spellStart"/>
      <w:r w:rsidR="00874D3D" w:rsidRPr="00334DC1">
        <w:t>opinion</w:t>
      </w:r>
      <w:proofErr w:type="spellEnd"/>
      <w:r w:rsidR="00874D3D" w:rsidRPr="00334DC1">
        <w:t xml:space="preserve"> </w:t>
      </w:r>
      <w:proofErr w:type="spellStart"/>
      <w:r w:rsidR="00874D3D" w:rsidRPr="00334DC1">
        <w:t>and</w:t>
      </w:r>
      <w:proofErr w:type="spellEnd"/>
      <w:r w:rsidR="00874D3D" w:rsidRPr="00334DC1">
        <w:t xml:space="preserve"> </w:t>
      </w:r>
      <w:proofErr w:type="spellStart"/>
      <w:r w:rsidR="00874D3D" w:rsidRPr="00334DC1">
        <w:t>expression</w:t>
      </w:r>
      <w:proofErr w:type="spellEnd"/>
      <w:r w:rsidR="00874D3D" w:rsidRPr="00334DC1">
        <w:t xml:space="preserve"> on his </w:t>
      </w:r>
      <w:proofErr w:type="spellStart"/>
      <w:r w:rsidR="00874D3D" w:rsidRPr="00334DC1">
        <w:t>mission</w:t>
      </w:r>
      <w:proofErr w:type="spellEnd"/>
      <w:r w:rsidR="00874D3D" w:rsidRPr="00334DC1">
        <w:t xml:space="preserve"> to </w:t>
      </w:r>
      <w:proofErr w:type="spellStart"/>
      <w:r w:rsidR="00874D3D" w:rsidRPr="00334DC1">
        <w:t>Turkey</w:t>
      </w:r>
      <w:proofErr w:type="spellEnd"/>
      <w:r w:rsidR="00874D3D" w:rsidRPr="00334DC1">
        <w:t xml:space="preserve">, Rapor yayınlanma tarihi: 21 Haziran 2017. Erişim: </w:t>
      </w:r>
      <w:hyperlink r:id="rId5" w:history="1">
        <w:r w:rsidR="00874D3D" w:rsidRPr="00334DC1">
          <w:rPr>
            <w:rStyle w:val="Kpr"/>
          </w:rPr>
          <w:t>https://documents-dds-ny.un.org/doc/UNDOC/GEN/G17/170/40/PDF/G1717040.pdf?OpenElement</w:t>
        </w:r>
      </w:hyperlink>
    </w:p>
  </w:footnote>
  <w:footnote w:id="6">
    <w:p w:rsidR="00334DC1" w:rsidRPr="00334DC1" w:rsidRDefault="00334DC1" w:rsidP="00334DC1">
      <w:pPr>
        <w:pStyle w:val="AltBilgi"/>
      </w:pPr>
      <w:r>
        <w:rPr>
          <w:rStyle w:val="DipnotBavurusu"/>
        </w:rPr>
        <w:footnoteRef/>
      </w:r>
      <w:r>
        <w:t xml:space="preserve"> </w:t>
      </w:r>
      <w:r w:rsidRPr="00334DC1">
        <w:t>21 Temmuz 2016-20 Mart 2018 Olağanüstü Hal Uygulamaları: Güncellenmiş Durum Raporu; Yayınlama Tarihi: 17 Nisan 2018; Yayın Sahibi: İnsan Hakları Ortak Platformu Sh.</w:t>
      </w:r>
      <w:r>
        <w:t>47-52</w:t>
      </w:r>
      <w:r w:rsidRPr="00334DC1">
        <w:t xml:space="preserve">, erişim: </w:t>
      </w:r>
      <w:hyperlink r:id="rId6" w:history="1">
        <w:r w:rsidRPr="00334DC1">
          <w:rPr>
            <w:rStyle w:val="Kpr"/>
          </w:rPr>
          <w:t>http://www.ihop.org.tr/wp-content/uploads/2018/04/Ola%C4%9Fan%C3%BCst%C3%BC-Hal_17042018.pdf</w:t>
        </w:r>
      </w:hyperlink>
    </w:p>
    <w:p w:rsidR="00334DC1" w:rsidRDefault="00334DC1">
      <w:pPr>
        <w:pStyle w:val="DipnotMetni"/>
      </w:pPr>
    </w:p>
  </w:footnote>
  <w:footnote w:id="7">
    <w:p w:rsidR="00200F25" w:rsidRDefault="00200F25">
      <w:pPr>
        <w:pStyle w:val="DipnotMetni"/>
      </w:pPr>
      <w:r>
        <w:rPr>
          <w:rStyle w:val="DipnotBavurusu"/>
        </w:rPr>
        <w:footnoteRef/>
      </w:r>
      <w:r>
        <w:t xml:space="preserve"> </w:t>
      </w:r>
      <w:proofErr w:type="spellStart"/>
      <w:r>
        <w:t>İbid</w:t>
      </w:r>
      <w:proofErr w:type="spellEnd"/>
      <w:r>
        <w:t>; sh.13. “Siber Suçlara Karşı Soruşturmalar”</w:t>
      </w:r>
    </w:p>
  </w:footnote>
  <w:footnote w:id="8">
    <w:p w:rsidR="00E604E0" w:rsidRDefault="00E604E0">
      <w:pPr>
        <w:pStyle w:val="DipnotMetni"/>
      </w:pPr>
      <w:r>
        <w:rPr>
          <w:rStyle w:val="DipnotBavurusu"/>
        </w:rPr>
        <w:footnoteRef/>
      </w:r>
      <w:r>
        <w:t xml:space="preserve"> </w:t>
      </w:r>
      <w:hyperlink r:id="rId7" w:history="1">
        <w:r>
          <w:rPr>
            <w:rStyle w:val="Kpr"/>
          </w:rPr>
          <w:t>https://bianet.org/bianet/bia-medya-gozlem/205589-bia-medya-gozlem-2018-habercinin-medyanin-bir-yili</w:t>
        </w:r>
      </w:hyperlink>
    </w:p>
  </w:footnote>
  <w:footnote w:id="9">
    <w:p w:rsidR="0001241D" w:rsidRDefault="0001241D">
      <w:pPr>
        <w:pStyle w:val="DipnotMetni"/>
      </w:pPr>
      <w:r>
        <w:rPr>
          <w:rStyle w:val="DipnotBavurusu"/>
        </w:rPr>
        <w:footnoteRef/>
      </w:r>
      <w:r>
        <w:t xml:space="preserve"> </w:t>
      </w:r>
      <w:hyperlink r:id="rId8" w:history="1">
        <w:r>
          <w:rPr>
            <w:rStyle w:val="Kpr"/>
          </w:rPr>
          <w:t>https://www2.tbmm.gov.tr/d27/7/7-5380c.pdf</w:t>
        </w:r>
      </w:hyperlink>
    </w:p>
  </w:footnote>
  <w:footnote w:id="10">
    <w:p w:rsidR="003E6182" w:rsidRDefault="003E6182">
      <w:pPr>
        <w:pStyle w:val="DipnotMetni"/>
      </w:pPr>
      <w:r>
        <w:rPr>
          <w:rStyle w:val="DipnotBavurusu"/>
        </w:rPr>
        <w:footnoteRef/>
      </w:r>
      <w:r>
        <w:t xml:space="preserve"> </w:t>
      </w:r>
      <w:hyperlink r:id="rId9" w:history="1">
        <w:r>
          <w:rPr>
            <w:rStyle w:val="Kpr"/>
          </w:rPr>
          <w:t>http://www.resmigazete.gov.tr/eskiler/2018/12/20181214-10.pdf</w:t>
        </w:r>
      </w:hyperlink>
    </w:p>
  </w:footnote>
  <w:footnote w:id="11">
    <w:p w:rsidR="00CD5D15" w:rsidRDefault="00CD5D15" w:rsidP="008B4576">
      <w:pPr>
        <w:widowControl w:val="0"/>
        <w:suppressLineNumbers/>
        <w:tabs>
          <w:tab w:val="left" w:pos="540"/>
        </w:tabs>
        <w:spacing w:line="200" w:lineRule="exact"/>
      </w:pPr>
      <w:r>
        <w:rPr>
          <w:rStyle w:val="DipnotBavurusu"/>
        </w:rPr>
        <w:footnoteRef/>
      </w:r>
      <w:r>
        <w:t xml:space="preserve"> </w:t>
      </w:r>
      <w:r>
        <w:rPr>
          <w:sz w:val="18"/>
          <w:szCs w:val="18"/>
        </w:rPr>
        <w:t xml:space="preserve">Kamu barışına karşı suçlar: </w:t>
      </w:r>
      <w:r w:rsidRPr="008C6952">
        <w:rPr>
          <w:rFonts w:eastAsia="Arial Unicode MS"/>
          <w:i/>
          <w:iCs/>
          <w:sz w:val="18"/>
          <w:szCs w:val="20"/>
        </w:rPr>
        <w:t xml:space="preserve">Halk arasında korku ve panik yaratmak amacıyla </w:t>
      </w:r>
      <w:proofErr w:type="gramStart"/>
      <w:r w:rsidRPr="008C6952">
        <w:rPr>
          <w:rFonts w:eastAsia="Arial Unicode MS"/>
          <w:i/>
          <w:iCs/>
          <w:sz w:val="18"/>
          <w:szCs w:val="20"/>
        </w:rPr>
        <w:t>tehdit</w:t>
      </w:r>
      <w:r>
        <w:rPr>
          <w:rFonts w:eastAsia="Arial Unicode MS"/>
          <w:i/>
          <w:iCs/>
          <w:sz w:val="18"/>
          <w:szCs w:val="20"/>
        </w:rPr>
        <w:t>(</w:t>
      </w:r>
      <w:proofErr w:type="gramEnd"/>
      <w:r>
        <w:rPr>
          <w:rFonts w:eastAsia="Arial Unicode MS"/>
          <w:i/>
          <w:iCs/>
          <w:sz w:val="18"/>
          <w:szCs w:val="20"/>
        </w:rPr>
        <w:t xml:space="preserve">213), </w:t>
      </w:r>
      <w:r w:rsidRPr="008C6952">
        <w:rPr>
          <w:rFonts w:eastAsia="Arial Unicode MS"/>
          <w:i/>
          <w:iCs/>
          <w:sz w:val="18"/>
          <w:szCs w:val="20"/>
        </w:rPr>
        <w:t>Suç işlemeye tahrik</w:t>
      </w:r>
      <w:r>
        <w:rPr>
          <w:rFonts w:eastAsia="Arial Unicode MS"/>
          <w:i/>
          <w:iCs/>
          <w:sz w:val="18"/>
          <w:szCs w:val="20"/>
        </w:rPr>
        <w:t xml:space="preserve"> (214), </w:t>
      </w:r>
      <w:r w:rsidRPr="008C6952">
        <w:rPr>
          <w:rFonts w:eastAsia="Arial Unicode MS"/>
          <w:i/>
          <w:iCs/>
          <w:sz w:val="18"/>
          <w:szCs w:val="20"/>
        </w:rPr>
        <w:t>Suçu ve suçluyu övme</w:t>
      </w:r>
      <w:r>
        <w:rPr>
          <w:rFonts w:eastAsia="Arial Unicode MS"/>
          <w:i/>
          <w:iCs/>
          <w:sz w:val="18"/>
          <w:szCs w:val="20"/>
        </w:rPr>
        <w:t xml:space="preserve"> (215), </w:t>
      </w:r>
      <w:r w:rsidRPr="008C6952">
        <w:rPr>
          <w:rFonts w:eastAsia="Arial Unicode MS"/>
          <w:i/>
          <w:iCs/>
          <w:sz w:val="18"/>
          <w:szCs w:val="20"/>
        </w:rPr>
        <w:t>Halkı kin ve düşmanlığa tahrik veya aşağılama</w:t>
      </w:r>
      <w:r>
        <w:rPr>
          <w:rFonts w:eastAsia="Arial Unicode MS"/>
          <w:i/>
          <w:iCs/>
          <w:sz w:val="18"/>
          <w:szCs w:val="20"/>
        </w:rPr>
        <w:t xml:space="preserve"> (216), </w:t>
      </w:r>
      <w:r w:rsidRPr="008C6952">
        <w:rPr>
          <w:rFonts w:eastAsia="Arial Unicode MS"/>
          <w:i/>
          <w:iCs/>
          <w:sz w:val="18"/>
          <w:szCs w:val="20"/>
        </w:rPr>
        <w:t>Kanunlara uymamaya tahrik</w:t>
      </w:r>
      <w:r>
        <w:rPr>
          <w:rFonts w:eastAsia="Arial Unicode MS"/>
          <w:i/>
          <w:iCs/>
          <w:sz w:val="18"/>
          <w:szCs w:val="20"/>
        </w:rPr>
        <w:t>(217)</w:t>
      </w:r>
    </w:p>
  </w:footnote>
  <w:footnote w:id="12">
    <w:p w:rsidR="000F1DF9" w:rsidRDefault="000F1DF9">
      <w:pPr>
        <w:pStyle w:val="DipnotMetni"/>
      </w:pPr>
      <w:r>
        <w:rPr>
          <w:rStyle w:val="DipnotBavurusu"/>
        </w:rPr>
        <w:footnoteRef/>
      </w:r>
      <w:r>
        <w:t xml:space="preserve"> </w:t>
      </w:r>
      <w:r w:rsidRPr="00B862B4">
        <w:rPr>
          <w:sz w:val="18"/>
        </w:rPr>
        <w:t xml:space="preserve">5816 sayılı Atatürk Aleyhine İşlenen Suçlar Hakkında Kanunda, Anayasanın 174 üncü maddesinde yer alan inkılap kanunlarında, 765 sayılı Türk Ceza Kanununun 146 </w:t>
      </w:r>
      <w:proofErr w:type="spellStart"/>
      <w:r w:rsidRPr="00B862B4">
        <w:rPr>
          <w:sz w:val="18"/>
        </w:rPr>
        <w:t>ncı</w:t>
      </w:r>
      <w:proofErr w:type="spellEnd"/>
      <w:r w:rsidRPr="00B862B4">
        <w:rPr>
          <w:sz w:val="18"/>
        </w:rPr>
        <w:t xml:space="preserve"> maddesinin ikinci fıkrasında, 153 üncü maddesinin birinci ve dördüncü fıkralarında, 155 inci maddesinde, 311 inci maddesinin birinci ve ikinci fıkralarında, 312 </w:t>
      </w:r>
      <w:proofErr w:type="spellStart"/>
      <w:r w:rsidRPr="00B862B4">
        <w:rPr>
          <w:sz w:val="18"/>
        </w:rPr>
        <w:t>nci</w:t>
      </w:r>
      <w:proofErr w:type="spellEnd"/>
      <w:r w:rsidRPr="00B862B4">
        <w:rPr>
          <w:sz w:val="18"/>
        </w:rPr>
        <w:t xml:space="preserve"> maddesinin ikinci ve dördüncü fıkralarında, 312/a maddesinde ve 12.4.1991 tarihli ve 3713 sayılı Terörle Mücadele Kanununun 7 </w:t>
      </w:r>
      <w:proofErr w:type="spellStart"/>
      <w:r w:rsidRPr="00B862B4">
        <w:rPr>
          <w:sz w:val="18"/>
        </w:rPr>
        <w:t>nci</w:t>
      </w:r>
      <w:proofErr w:type="spellEnd"/>
      <w:r w:rsidRPr="00B862B4">
        <w:rPr>
          <w:sz w:val="18"/>
        </w:rPr>
        <w:t xml:space="preserve"> maddesinin ikinci ve beşinci fıkralarında öngörülen suçlar</w:t>
      </w:r>
    </w:p>
  </w:footnote>
  <w:footnote w:id="13">
    <w:p w:rsidR="008B4576" w:rsidRDefault="008B4576">
      <w:pPr>
        <w:pStyle w:val="DipnotMetni"/>
      </w:pPr>
      <w:r>
        <w:rPr>
          <w:rStyle w:val="DipnotBavurusu"/>
        </w:rPr>
        <w:footnoteRef/>
      </w:r>
      <w:r>
        <w:t xml:space="preserve"> Yaman Akdeniz, Ozan Güven; Engelli Web, 2018, erişim: </w:t>
      </w:r>
      <w:hyperlink r:id="rId10" w:history="1">
        <w:r>
          <w:rPr>
            <w:rStyle w:val="Kpr"/>
          </w:rPr>
          <w:t>https://privacy.cyber-rights.org.tr/wp-content/uploads/2019/06/EngelliWeb_2018.pdf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85083"/>
      <w:docPartObj>
        <w:docPartGallery w:val="Page Numbers (Margins)"/>
        <w:docPartUnique/>
      </w:docPartObj>
    </w:sdtPr>
    <w:sdtEndPr/>
    <w:sdtContent>
      <w:p w:rsidR="00D10D53" w:rsidRDefault="00D10D53">
        <w:pPr>
          <w:pStyle w:val="stBilgi"/>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top</wp:align>
                  </wp:positionV>
                  <wp:extent cx="581025" cy="409575"/>
                  <wp:effectExtent l="9525" t="0" r="0" b="0"/>
                  <wp:wrapNone/>
                  <wp:docPr id="3" name="Ok: Sa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D10D53" w:rsidRDefault="00D10D53">
                              <w:pPr>
                                <w:pStyle w:val="AltBilgi"/>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rsidR="00D10D53" w:rsidRDefault="00D10D53"/>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ACDjTatAgAAYgUAAA4AAAAAAAAA&#10;AAAAAAAALgIAAGRycy9lMm9Eb2MueG1sUEsBAi0AFAAGAAgAAAAhAAd10CXcAAAAAwEAAA8AAAAA&#10;AAAAAAAAAAAABwUAAGRycy9kb3ducmV2LnhtbFBLBQYAAAAABAAEAPMAAAAQBgAAAAA=&#10;" o:allowincell="f" adj="13609,5370" fillcolor="#c0504d" stroked="f" strokecolor="#5c83b4">
                  <v:textbox inset=",0,,0">
                    <w:txbxContent>
                      <w:p w:rsidR="00D10D53" w:rsidRDefault="00D10D53">
                        <w:pPr>
                          <w:pStyle w:val="AltBilgi"/>
                          <w:jc w:val="center"/>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p w:rsidR="00D10D53" w:rsidRDefault="00D10D53"/>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039C9"/>
    <w:multiLevelType w:val="hybridMultilevel"/>
    <w:tmpl w:val="3DF683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6720D2"/>
    <w:multiLevelType w:val="hybridMultilevel"/>
    <w:tmpl w:val="97144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990B07"/>
    <w:multiLevelType w:val="hybridMultilevel"/>
    <w:tmpl w:val="9C2E1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0B6C2D"/>
    <w:multiLevelType w:val="hybridMultilevel"/>
    <w:tmpl w:val="169CE5A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72598B"/>
    <w:multiLevelType w:val="hybridMultilevel"/>
    <w:tmpl w:val="C700E9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723177"/>
    <w:multiLevelType w:val="hybridMultilevel"/>
    <w:tmpl w:val="D65E8DB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67A51A8"/>
    <w:multiLevelType w:val="hybridMultilevel"/>
    <w:tmpl w:val="A2287844"/>
    <w:lvl w:ilvl="0" w:tplc="2752DC44">
      <w:start w:val="1"/>
      <w:numFmt w:val="bullet"/>
      <w:lvlText w:val="l"/>
      <w:lvlJc w:val="left"/>
      <w:pPr>
        <w:tabs>
          <w:tab w:val="num" w:pos="720"/>
        </w:tabs>
        <w:ind w:left="720" w:hanging="360"/>
      </w:pPr>
      <w:rPr>
        <w:rFonts w:ascii="Monotype Sorts" w:hAnsi="Monotype Sorts" w:hint="default"/>
      </w:rPr>
    </w:lvl>
    <w:lvl w:ilvl="1" w:tplc="D85006C4" w:tentative="1">
      <w:start w:val="1"/>
      <w:numFmt w:val="bullet"/>
      <w:lvlText w:val="l"/>
      <w:lvlJc w:val="left"/>
      <w:pPr>
        <w:tabs>
          <w:tab w:val="num" w:pos="1440"/>
        </w:tabs>
        <w:ind w:left="1440" w:hanging="360"/>
      </w:pPr>
      <w:rPr>
        <w:rFonts w:ascii="Monotype Sorts" w:hAnsi="Monotype Sorts" w:hint="default"/>
      </w:rPr>
    </w:lvl>
    <w:lvl w:ilvl="2" w:tplc="11707D22" w:tentative="1">
      <w:start w:val="1"/>
      <w:numFmt w:val="bullet"/>
      <w:lvlText w:val="l"/>
      <w:lvlJc w:val="left"/>
      <w:pPr>
        <w:tabs>
          <w:tab w:val="num" w:pos="2160"/>
        </w:tabs>
        <w:ind w:left="2160" w:hanging="360"/>
      </w:pPr>
      <w:rPr>
        <w:rFonts w:ascii="Monotype Sorts" w:hAnsi="Monotype Sorts" w:hint="default"/>
      </w:rPr>
    </w:lvl>
    <w:lvl w:ilvl="3" w:tplc="0C22BF24" w:tentative="1">
      <w:start w:val="1"/>
      <w:numFmt w:val="bullet"/>
      <w:lvlText w:val="l"/>
      <w:lvlJc w:val="left"/>
      <w:pPr>
        <w:tabs>
          <w:tab w:val="num" w:pos="2880"/>
        </w:tabs>
        <w:ind w:left="2880" w:hanging="360"/>
      </w:pPr>
      <w:rPr>
        <w:rFonts w:ascii="Monotype Sorts" w:hAnsi="Monotype Sorts" w:hint="default"/>
      </w:rPr>
    </w:lvl>
    <w:lvl w:ilvl="4" w:tplc="3E2CA970" w:tentative="1">
      <w:start w:val="1"/>
      <w:numFmt w:val="bullet"/>
      <w:lvlText w:val="l"/>
      <w:lvlJc w:val="left"/>
      <w:pPr>
        <w:tabs>
          <w:tab w:val="num" w:pos="3600"/>
        </w:tabs>
        <w:ind w:left="3600" w:hanging="360"/>
      </w:pPr>
      <w:rPr>
        <w:rFonts w:ascii="Monotype Sorts" w:hAnsi="Monotype Sorts" w:hint="default"/>
      </w:rPr>
    </w:lvl>
    <w:lvl w:ilvl="5" w:tplc="DBDAE64A" w:tentative="1">
      <w:start w:val="1"/>
      <w:numFmt w:val="bullet"/>
      <w:lvlText w:val="l"/>
      <w:lvlJc w:val="left"/>
      <w:pPr>
        <w:tabs>
          <w:tab w:val="num" w:pos="4320"/>
        </w:tabs>
        <w:ind w:left="4320" w:hanging="360"/>
      </w:pPr>
      <w:rPr>
        <w:rFonts w:ascii="Monotype Sorts" w:hAnsi="Monotype Sorts" w:hint="default"/>
      </w:rPr>
    </w:lvl>
    <w:lvl w:ilvl="6" w:tplc="30547EA4" w:tentative="1">
      <w:start w:val="1"/>
      <w:numFmt w:val="bullet"/>
      <w:lvlText w:val="l"/>
      <w:lvlJc w:val="left"/>
      <w:pPr>
        <w:tabs>
          <w:tab w:val="num" w:pos="5040"/>
        </w:tabs>
        <w:ind w:left="5040" w:hanging="360"/>
      </w:pPr>
      <w:rPr>
        <w:rFonts w:ascii="Monotype Sorts" w:hAnsi="Monotype Sorts" w:hint="default"/>
      </w:rPr>
    </w:lvl>
    <w:lvl w:ilvl="7" w:tplc="F7A055B6" w:tentative="1">
      <w:start w:val="1"/>
      <w:numFmt w:val="bullet"/>
      <w:lvlText w:val="l"/>
      <w:lvlJc w:val="left"/>
      <w:pPr>
        <w:tabs>
          <w:tab w:val="num" w:pos="5760"/>
        </w:tabs>
        <w:ind w:left="5760" w:hanging="360"/>
      </w:pPr>
      <w:rPr>
        <w:rFonts w:ascii="Monotype Sorts" w:hAnsi="Monotype Sorts" w:hint="default"/>
      </w:rPr>
    </w:lvl>
    <w:lvl w:ilvl="8" w:tplc="A7FE33BA" w:tentative="1">
      <w:start w:val="1"/>
      <w:numFmt w:val="bullet"/>
      <w:lvlText w:val="l"/>
      <w:lvlJc w:val="left"/>
      <w:pPr>
        <w:tabs>
          <w:tab w:val="num" w:pos="6480"/>
        </w:tabs>
        <w:ind w:left="6480" w:hanging="360"/>
      </w:pPr>
      <w:rPr>
        <w:rFonts w:ascii="Monotype Sorts" w:hAnsi="Monotype Sorts" w:hint="default"/>
      </w:rPr>
    </w:lvl>
  </w:abstractNum>
  <w:abstractNum w:abstractNumId="7" w15:restartNumberingAfterBreak="0">
    <w:nsid w:val="30B3038D"/>
    <w:multiLevelType w:val="hybridMultilevel"/>
    <w:tmpl w:val="134CA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45602D4"/>
    <w:multiLevelType w:val="multilevel"/>
    <w:tmpl w:val="44049BC2"/>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0A67353"/>
    <w:multiLevelType w:val="hybridMultilevel"/>
    <w:tmpl w:val="35C4E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22B1441"/>
    <w:multiLevelType w:val="hybridMultilevel"/>
    <w:tmpl w:val="72B4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74712"/>
    <w:multiLevelType w:val="hybridMultilevel"/>
    <w:tmpl w:val="5C0E0E7A"/>
    <w:lvl w:ilvl="0" w:tplc="954C0912">
      <w:start w:val="1"/>
      <w:numFmt w:val="decimal"/>
      <w:lvlText w:val="%1."/>
      <w:lvlJc w:val="left"/>
      <w:pPr>
        <w:ind w:left="855" w:hanging="495"/>
      </w:pPr>
      <w:rPr>
        <w:rFonts w:hint="default"/>
        <w:b/>
        <w:color w:val="1F3763"/>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53B47B9"/>
    <w:multiLevelType w:val="multilevel"/>
    <w:tmpl w:val="AD5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BE2278"/>
    <w:multiLevelType w:val="multilevel"/>
    <w:tmpl w:val="1C0E9C92"/>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num w:numId="1">
    <w:abstractNumId w:val="7"/>
  </w:num>
  <w:num w:numId="2">
    <w:abstractNumId w:val="5"/>
  </w:num>
  <w:num w:numId="3">
    <w:abstractNumId w:val="1"/>
  </w:num>
  <w:num w:numId="4">
    <w:abstractNumId w:val="0"/>
  </w:num>
  <w:num w:numId="5">
    <w:abstractNumId w:val="11"/>
  </w:num>
  <w:num w:numId="6">
    <w:abstractNumId w:val="8"/>
  </w:num>
  <w:num w:numId="7">
    <w:abstractNumId w:val="13"/>
  </w:num>
  <w:num w:numId="8">
    <w:abstractNumId w:val="9"/>
  </w:num>
  <w:num w:numId="9">
    <w:abstractNumId w:val="2"/>
  </w:num>
  <w:num w:numId="10">
    <w:abstractNumId w:val="12"/>
  </w:num>
  <w:num w:numId="11">
    <w:abstractNumId w:val="6"/>
  </w:num>
  <w:num w:numId="12">
    <w:abstractNumId w:val="1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992"/>
    <w:rsid w:val="0001241D"/>
    <w:rsid w:val="000152B8"/>
    <w:rsid w:val="0003421E"/>
    <w:rsid w:val="00067AA0"/>
    <w:rsid w:val="000F1DF9"/>
    <w:rsid w:val="000F4EEA"/>
    <w:rsid w:val="00100772"/>
    <w:rsid w:val="0011012F"/>
    <w:rsid w:val="00151E11"/>
    <w:rsid w:val="001920C9"/>
    <w:rsid w:val="00195941"/>
    <w:rsid w:val="001F3BCF"/>
    <w:rsid w:val="00200F25"/>
    <w:rsid w:val="00247F2D"/>
    <w:rsid w:val="00272B50"/>
    <w:rsid w:val="00282C01"/>
    <w:rsid w:val="002D5C91"/>
    <w:rsid w:val="00334DC1"/>
    <w:rsid w:val="003362EF"/>
    <w:rsid w:val="00355602"/>
    <w:rsid w:val="003632A4"/>
    <w:rsid w:val="00366E33"/>
    <w:rsid w:val="003956BF"/>
    <w:rsid w:val="003C0BDD"/>
    <w:rsid w:val="003E6182"/>
    <w:rsid w:val="003F3A18"/>
    <w:rsid w:val="00460FDD"/>
    <w:rsid w:val="004837EB"/>
    <w:rsid w:val="004D39F9"/>
    <w:rsid w:val="004D5766"/>
    <w:rsid w:val="00527858"/>
    <w:rsid w:val="00531F6E"/>
    <w:rsid w:val="005359D4"/>
    <w:rsid w:val="00535A6A"/>
    <w:rsid w:val="00550F52"/>
    <w:rsid w:val="00563366"/>
    <w:rsid w:val="00576AE3"/>
    <w:rsid w:val="005A0B6F"/>
    <w:rsid w:val="005A24D5"/>
    <w:rsid w:val="005A7992"/>
    <w:rsid w:val="005B14F5"/>
    <w:rsid w:val="00616CF6"/>
    <w:rsid w:val="006250C8"/>
    <w:rsid w:val="006D6E08"/>
    <w:rsid w:val="007158C6"/>
    <w:rsid w:val="00724A80"/>
    <w:rsid w:val="007746D8"/>
    <w:rsid w:val="0082648B"/>
    <w:rsid w:val="00826D46"/>
    <w:rsid w:val="0083679A"/>
    <w:rsid w:val="00874D3D"/>
    <w:rsid w:val="008A2EED"/>
    <w:rsid w:val="008B4374"/>
    <w:rsid w:val="008B4576"/>
    <w:rsid w:val="008B5D19"/>
    <w:rsid w:val="008D0170"/>
    <w:rsid w:val="008E7096"/>
    <w:rsid w:val="008F7FB6"/>
    <w:rsid w:val="00902FDC"/>
    <w:rsid w:val="009045FD"/>
    <w:rsid w:val="00905591"/>
    <w:rsid w:val="009071B1"/>
    <w:rsid w:val="00910B63"/>
    <w:rsid w:val="00960471"/>
    <w:rsid w:val="00974F3E"/>
    <w:rsid w:val="00996D57"/>
    <w:rsid w:val="009A2816"/>
    <w:rsid w:val="009A5D61"/>
    <w:rsid w:val="009C38DE"/>
    <w:rsid w:val="00A37A23"/>
    <w:rsid w:val="00A447A6"/>
    <w:rsid w:val="00A56056"/>
    <w:rsid w:val="00AA3E9A"/>
    <w:rsid w:val="00AD6D74"/>
    <w:rsid w:val="00AD79F7"/>
    <w:rsid w:val="00B05D4F"/>
    <w:rsid w:val="00B42257"/>
    <w:rsid w:val="00B602EF"/>
    <w:rsid w:val="00B735E2"/>
    <w:rsid w:val="00B85B94"/>
    <w:rsid w:val="00BC303A"/>
    <w:rsid w:val="00BE05A5"/>
    <w:rsid w:val="00BE5F96"/>
    <w:rsid w:val="00BE6918"/>
    <w:rsid w:val="00BF720A"/>
    <w:rsid w:val="00C42E96"/>
    <w:rsid w:val="00C60B59"/>
    <w:rsid w:val="00C85786"/>
    <w:rsid w:val="00C93B09"/>
    <w:rsid w:val="00CD5D15"/>
    <w:rsid w:val="00D10D53"/>
    <w:rsid w:val="00D57CAB"/>
    <w:rsid w:val="00D60271"/>
    <w:rsid w:val="00D65B9D"/>
    <w:rsid w:val="00D66A6B"/>
    <w:rsid w:val="00DA0BC8"/>
    <w:rsid w:val="00DC2ACE"/>
    <w:rsid w:val="00E11468"/>
    <w:rsid w:val="00E266C1"/>
    <w:rsid w:val="00E604E0"/>
    <w:rsid w:val="00E6747A"/>
    <w:rsid w:val="00E857A3"/>
    <w:rsid w:val="00E95DE0"/>
    <w:rsid w:val="00E97D02"/>
    <w:rsid w:val="00EC0537"/>
    <w:rsid w:val="00EE145F"/>
    <w:rsid w:val="00FF0F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E6CD5"/>
  <w15:chartTrackingRefBased/>
  <w15:docId w15:val="{B3568CAF-8B2B-4DED-BE82-62064FA1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9D"/>
    <w:pPr>
      <w:spacing w:after="120" w:line="240" w:lineRule="auto"/>
    </w:pPr>
    <w:rPr>
      <w:rFonts w:ascii="Verdana Pro Cond" w:hAnsi="Verdana Pro Cond"/>
      <w:sz w:val="21"/>
    </w:rPr>
  </w:style>
  <w:style w:type="paragraph" w:styleId="Balk1">
    <w:name w:val="heading 1"/>
    <w:basedOn w:val="Normal"/>
    <w:next w:val="Normal"/>
    <w:link w:val="Balk1Char"/>
    <w:uiPriority w:val="9"/>
    <w:qFormat/>
    <w:rsid w:val="005359D4"/>
    <w:pPr>
      <w:keepNext/>
      <w:keepLines/>
      <w:spacing w:before="320" w:after="40"/>
      <w:outlineLvl w:val="0"/>
    </w:pPr>
    <w:rPr>
      <w:rFonts w:asciiTheme="majorHAnsi" w:eastAsiaTheme="majorEastAsia" w:hAnsiTheme="majorHAnsi" w:cstheme="majorBidi"/>
      <w:b/>
      <w:bCs/>
      <w:caps/>
      <w:spacing w:val="4"/>
      <w:sz w:val="28"/>
      <w:szCs w:val="28"/>
    </w:rPr>
  </w:style>
  <w:style w:type="paragraph" w:styleId="Balk2">
    <w:name w:val="heading 2"/>
    <w:basedOn w:val="Normal"/>
    <w:next w:val="Normal"/>
    <w:link w:val="Balk2Char"/>
    <w:uiPriority w:val="9"/>
    <w:unhideWhenUsed/>
    <w:qFormat/>
    <w:rsid w:val="00BE6918"/>
    <w:pPr>
      <w:keepNext/>
      <w:keepLines/>
      <w:spacing w:before="120" w:after="240"/>
      <w:outlineLvl w:val="1"/>
    </w:pPr>
    <w:rPr>
      <w:rFonts w:asciiTheme="majorHAnsi" w:eastAsiaTheme="majorEastAsia" w:hAnsiTheme="majorHAnsi" w:cstheme="majorBidi"/>
      <w:b/>
      <w:bCs/>
      <w:sz w:val="28"/>
      <w:szCs w:val="28"/>
    </w:rPr>
  </w:style>
  <w:style w:type="paragraph" w:styleId="Balk3">
    <w:name w:val="heading 3"/>
    <w:basedOn w:val="Normal"/>
    <w:next w:val="Normal"/>
    <w:link w:val="Balk3Char"/>
    <w:uiPriority w:val="9"/>
    <w:unhideWhenUsed/>
    <w:qFormat/>
    <w:rsid w:val="005359D4"/>
    <w:pPr>
      <w:keepNext/>
      <w:keepLines/>
      <w:spacing w:before="120" w:after="0"/>
      <w:outlineLvl w:val="2"/>
    </w:pPr>
    <w:rPr>
      <w:rFonts w:asciiTheme="majorHAnsi" w:eastAsiaTheme="majorEastAsia" w:hAnsiTheme="majorHAnsi" w:cstheme="majorBidi"/>
      <w:spacing w:val="4"/>
      <w:sz w:val="24"/>
      <w:szCs w:val="24"/>
    </w:rPr>
  </w:style>
  <w:style w:type="paragraph" w:styleId="Balk4">
    <w:name w:val="heading 4"/>
    <w:basedOn w:val="Normal"/>
    <w:next w:val="Normal"/>
    <w:link w:val="Balk4Char"/>
    <w:uiPriority w:val="9"/>
    <w:semiHidden/>
    <w:unhideWhenUsed/>
    <w:qFormat/>
    <w:rsid w:val="005359D4"/>
    <w:pPr>
      <w:keepNext/>
      <w:keepLines/>
      <w:spacing w:before="120" w:after="0"/>
      <w:outlineLvl w:val="3"/>
    </w:pPr>
    <w:rPr>
      <w:rFonts w:asciiTheme="majorHAnsi" w:eastAsiaTheme="majorEastAsia" w:hAnsiTheme="majorHAnsi" w:cstheme="majorBidi"/>
      <w:i/>
      <w:iCs/>
      <w:sz w:val="24"/>
      <w:szCs w:val="24"/>
    </w:rPr>
  </w:style>
  <w:style w:type="paragraph" w:styleId="Balk5">
    <w:name w:val="heading 5"/>
    <w:basedOn w:val="Normal"/>
    <w:next w:val="Normal"/>
    <w:link w:val="Balk5Char"/>
    <w:uiPriority w:val="9"/>
    <w:semiHidden/>
    <w:unhideWhenUsed/>
    <w:qFormat/>
    <w:rsid w:val="005359D4"/>
    <w:pPr>
      <w:keepNext/>
      <w:keepLines/>
      <w:spacing w:before="120" w:after="0"/>
      <w:outlineLvl w:val="4"/>
    </w:pPr>
    <w:rPr>
      <w:rFonts w:asciiTheme="majorHAnsi" w:eastAsiaTheme="majorEastAsia" w:hAnsiTheme="majorHAnsi" w:cstheme="majorBidi"/>
      <w:b/>
      <w:bCs/>
    </w:rPr>
  </w:style>
  <w:style w:type="paragraph" w:styleId="Balk6">
    <w:name w:val="heading 6"/>
    <w:basedOn w:val="Normal"/>
    <w:next w:val="Normal"/>
    <w:link w:val="Balk6Char"/>
    <w:uiPriority w:val="9"/>
    <w:semiHidden/>
    <w:unhideWhenUsed/>
    <w:qFormat/>
    <w:rsid w:val="005359D4"/>
    <w:pPr>
      <w:keepNext/>
      <w:keepLines/>
      <w:spacing w:before="120" w:after="0"/>
      <w:outlineLvl w:val="5"/>
    </w:pPr>
    <w:rPr>
      <w:rFonts w:asciiTheme="majorHAnsi" w:eastAsiaTheme="majorEastAsia" w:hAnsiTheme="majorHAnsi" w:cstheme="majorBidi"/>
      <w:b/>
      <w:bCs/>
      <w:i/>
      <w:iCs/>
    </w:rPr>
  </w:style>
  <w:style w:type="paragraph" w:styleId="Balk7">
    <w:name w:val="heading 7"/>
    <w:basedOn w:val="Normal"/>
    <w:next w:val="Normal"/>
    <w:link w:val="Balk7Char"/>
    <w:uiPriority w:val="9"/>
    <w:semiHidden/>
    <w:unhideWhenUsed/>
    <w:qFormat/>
    <w:rsid w:val="005359D4"/>
    <w:pPr>
      <w:keepNext/>
      <w:keepLines/>
      <w:spacing w:before="120" w:after="0"/>
      <w:outlineLvl w:val="6"/>
    </w:pPr>
    <w:rPr>
      <w:i/>
      <w:iCs/>
    </w:rPr>
  </w:style>
  <w:style w:type="paragraph" w:styleId="Balk8">
    <w:name w:val="heading 8"/>
    <w:basedOn w:val="Normal"/>
    <w:next w:val="Normal"/>
    <w:link w:val="Balk8Char"/>
    <w:uiPriority w:val="9"/>
    <w:semiHidden/>
    <w:unhideWhenUsed/>
    <w:qFormat/>
    <w:rsid w:val="005359D4"/>
    <w:pPr>
      <w:keepNext/>
      <w:keepLines/>
      <w:spacing w:before="120" w:after="0"/>
      <w:outlineLvl w:val="7"/>
    </w:pPr>
    <w:rPr>
      <w:b/>
      <w:bCs/>
    </w:rPr>
  </w:style>
  <w:style w:type="paragraph" w:styleId="Balk9">
    <w:name w:val="heading 9"/>
    <w:basedOn w:val="Normal"/>
    <w:next w:val="Normal"/>
    <w:link w:val="Balk9Char"/>
    <w:uiPriority w:val="9"/>
    <w:semiHidden/>
    <w:unhideWhenUsed/>
    <w:qFormat/>
    <w:rsid w:val="005359D4"/>
    <w:pPr>
      <w:keepNext/>
      <w:keepLines/>
      <w:spacing w:before="120" w:after="0"/>
      <w:outlineLvl w:val="8"/>
    </w:pPr>
    <w:rPr>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45FD"/>
    <w:pPr>
      <w:ind w:left="720"/>
      <w:contextualSpacing/>
    </w:pPr>
  </w:style>
  <w:style w:type="paragraph" w:styleId="DipnotMetni">
    <w:name w:val="footnote text"/>
    <w:basedOn w:val="Normal"/>
    <w:link w:val="DipnotMetniChar"/>
    <w:uiPriority w:val="99"/>
    <w:unhideWhenUsed/>
    <w:rsid w:val="005A7992"/>
    <w:pPr>
      <w:spacing w:after="0"/>
    </w:pPr>
    <w:rPr>
      <w:sz w:val="20"/>
      <w:szCs w:val="20"/>
    </w:rPr>
  </w:style>
  <w:style w:type="character" w:customStyle="1" w:styleId="DipnotMetniChar">
    <w:name w:val="Dipnot Metni Char"/>
    <w:basedOn w:val="VarsaylanParagrafYazTipi"/>
    <w:link w:val="DipnotMetni"/>
    <w:uiPriority w:val="99"/>
    <w:rsid w:val="005A7992"/>
    <w:rPr>
      <w:sz w:val="20"/>
      <w:szCs w:val="20"/>
    </w:rPr>
  </w:style>
  <w:style w:type="character" w:styleId="DipnotBavurusu">
    <w:name w:val="footnote reference"/>
    <w:basedOn w:val="VarsaylanParagrafYazTipi"/>
    <w:uiPriority w:val="99"/>
    <w:unhideWhenUsed/>
    <w:rsid w:val="005A7992"/>
    <w:rPr>
      <w:vertAlign w:val="superscript"/>
    </w:rPr>
  </w:style>
  <w:style w:type="character" w:customStyle="1" w:styleId="Balk1Char">
    <w:name w:val="Başlık 1 Char"/>
    <w:basedOn w:val="VarsaylanParagrafYazTipi"/>
    <w:link w:val="Balk1"/>
    <w:uiPriority w:val="9"/>
    <w:rsid w:val="005359D4"/>
    <w:rPr>
      <w:rFonts w:asciiTheme="majorHAnsi" w:eastAsiaTheme="majorEastAsia" w:hAnsiTheme="majorHAnsi" w:cstheme="majorBidi"/>
      <w:b/>
      <w:bCs/>
      <w:caps/>
      <w:spacing w:val="4"/>
      <w:sz w:val="28"/>
      <w:szCs w:val="28"/>
    </w:rPr>
  </w:style>
  <w:style w:type="character" w:styleId="Kpr">
    <w:name w:val="Hyperlink"/>
    <w:basedOn w:val="VarsaylanParagrafYazTipi"/>
    <w:uiPriority w:val="99"/>
    <w:unhideWhenUsed/>
    <w:rsid w:val="00B85B94"/>
    <w:rPr>
      <w:color w:val="0000FF"/>
      <w:u w:val="single"/>
    </w:rPr>
  </w:style>
  <w:style w:type="character" w:customStyle="1" w:styleId="Balk2Char">
    <w:name w:val="Başlık 2 Char"/>
    <w:basedOn w:val="VarsaylanParagrafYazTipi"/>
    <w:link w:val="Balk2"/>
    <w:uiPriority w:val="9"/>
    <w:rsid w:val="00BE6918"/>
    <w:rPr>
      <w:rFonts w:asciiTheme="majorHAnsi" w:eastAsiaTheme="majorEastAsia" w:hAnsiTheme="majorHAnsi" w:cstheme="majorBidi"/>
      <w:b/>
      <w:bCs/>
      <w:sz w:val="28"/>
      <w:szCs w:val="28"/>
    </w:rPr>
  </w:style>
  <w:style w:type="paragraph" w:styleId="KonuBal">
    <w:name w:val="Title"/>
    <w:basedOn w:val="Normal"/>
    <w:next w:val="Normal"/>
    <w:link w:val="KonuBalChar"/>
    <w:uiPriority w:val="10"/>
    <w:qFormat/>
    <w:rsid w:val="005359D4"/>
    <w:pPr>
      <w:spacing w:after="0"/>
      <w:contextualSpacing/>
      <w:jc w:val="center"/>
    </w:pPr>
    <w:rPr>
      <w:rFonts w:asciiTheme="majorHAnsi" w:eastAsiaTheme="majorEastAsia" w:hAnsiTheme="majorHAnsi" w:cstheme="majorBidi"/>
      <w:b/>
      <w:bCs/>
      <w:spacing w:val="-7"/>
      <w:sz w:val="48"/>
      <w:szCs w:val="48"/>
    </w:rPr>
  </w:style>
  <w:style w:type="character" w:customStyle="1" w:styleId="KonuBalChar">
    <w:name w:val="Konu Başlığı Char"/>
    <w:basedOn w:val="VarsaylanParagrafYazTipi"/>
    <w:link w:val="KonuBal"/>
    <w:uiPriority w:val="10"/>
    <w:rsid w:val="005359D4"/>
    <w:rPr>
      <w:rFonts w:asciiTheme="majorHAnsi" w:eastAsiaTheme="majorEastAsia" w:hAnsiTheme="majorHAnsi" w:cstheme="majorBidi"/>
      <w:b/>
      <w:bCs/>
      <w:spacing w:val="-7"/>
      <w:sz w:val="48"/>
      <w:szCs w:val="48"/>
    </w:rPr>
  </w:style>
  <w:style w:type="character" w:customStyle="1" w:styleId="Balk3Char">
    <w:name w:val="Başlık 3 Char"/>
    <w:basedOn w:val="VarsaylanParagrafYazTipi"/>
    <w:link w:val="Balk3"/>
    <w:uiPriority w:val="9"/>
    <w:rsid w:val="005359D4"/>
    <w:rPr>
      <w:rFonts w:asciiTheme="majorHAnsi" w:eastAsiaTheme="majorEastAsia" w:hAnsiTheme="majorHAnsi" w:cstheme="majorBidi"/>
      <w:spacing w:val="4"/>
      <w:sz w:val="24"/>
      <w:szCs w:val="24"/>
    </w:rPr>
  </w:style>
  <w:style w:type="paragraph" w:customStyle="1" w:styleId="m7592266530209021195gmail-msolistparagraph">
    <w:name w:val="m_7592266530209021195gmail-msolistparagraph"/>
    <w:basedOn w:val="Normal"/>
    <w:rsid w:val="00EE145F"/>
    <w:pPr>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9071B1"/>
    <w:pPr>
      <w:tabs>
        <w:tab w:val="center" w:pos="4703"/>
        <w:tab w:val="right" w:pos="9406"/>
      </w:tabs>
      <w:spacing w:after="0"/>
    </w:pPr>
  </w:style>
  <w:style w:type="character" w:customStyle="1" w:styleId="stBilgiChar">
    <w:name w:val="Üst Bilgi Char"/>
    <w:basedOn w:val="VarsaylanParagrafYazTipi"/>
    <w:link w:val="stBilgi"/>
    <w:uiPriority w:val="99"/>
    <w:rsid w:val="009071B1"/>
    <w:rPr>
      <w:rFonts w:ascii="Verdana" w:hAnsi="Verdana"/>
      <w:sz w:val="18"/>
    </w:rPr>
  </w:style>
  <w:style w:type="paragraph" w:styleId="AltBilgi">
    <w:name w:val="footer"/>
    <w:basedOn w:val="Normal"/>
    <w:link w:val="AltBilgiChar"/>
    <w:uiPriority w:val="99"/>
    <w:unhideWhenUsed/>
    <w:rsid w:val="00334DC1"/>
    <w:pPr>
      <w:tabs>
        <w:tab w:val="center" w:pos="4703"/>
        <w:tab w:val="right" w:pos="9406"/>
      </w:tabs>
      <w:spacing w:after="0"/>
    </w:pPr>
    <w:rPr>
      <w:sz w:val="16"/>
    </w:rPr>
  </w:style>
  <w:style w:type="character" w:customStyle="1" w:styleId="AltBilgiChar">
    <w:name w:val="Alt Bilgi Char"/>
    <w:basedOn w:val="VarsaylanParagrafYazTipi"/>
    <w:link w:val="AltBilgi"/>
    <w:uiPriority w:val="99"/>
    <w:rsid w:val="00334DC1"/>
    <w:rPr>
      <w:rFonts w:ascii="Verdana Pro Cond" w:hAnsi="Verdana Pro Cond"/>
      <w:sz w:val="16"/>
    </w:rPr>
  </w:style>
  <w:style w:type="paragraph" w:styleId="BalonMetni">
    <w:name w:val="Balloon Text"/>
    <w:basedOn w:val="Normal"/>
    <w:link w:val="BalonMetniChar"/>
    <w:uiPriority w:val="99"/>
    <w:semiHidden/>
    <w:unhideWhenUsed/>
    <w:rsid w:val="009A5D61"/>
    <w:pPr>
      <w:spacing w:after="0"/>
    </w:pPr>
    <w:rPr>
      <w:rFonts w:ascii="Segoe UI" w:hAnsi="Segoe UI" w:cs="Segoe UI"/>
      <w:szCs w:val="18"/>
    </w:rPr>
  </w:style>
  <w:style w:type="character" w:customStyle="1" w:styleId="BalonMetniChar">
    <w:name w:val="Balon Metni Char"/>
    <w:basedOn w:val="VarsaylanParagrafYazTipi"/>
    <w:link w:val="BalonMetni"/>
    <w:uiPriority w:val="99"/>
    <w:semiHidden/>
    <w:rsid w:val="009A5D61"/>
    <w:rPr>
      <w:rFonts w:ascii="Segoe UI" w:hAnsi="Segoe UI" w:cs="Segoe UI"/>
      <w:sz w:val="18"/>
      <w:szCs w:val="18"/>
    </w:rPr>
  </w:style>
  <w:style w:type="character" w:customStyle="1" w:styleId="Balk4Char">
    <w:name w:val="Başlık 4 Char"/>
    <w:basedOn w:val="VarsaylanParagrafYazTipi"/>
    <w:link w:val="Balk4"/>
    <w:uiPriority w:val="9"/>
    <w:semiHidden/>
    <w:rsid w:val="005359D4"/>
    <w:rPr>
      <w:rFonts w:asciiTheme="majorHAnsi" w:eastAsiaTheme="majorEastAsia" w:hAnsiTheme="majorHAnsi" w:cstheme="majorBidi"/>
      <w:i/>
      <w:iCs/>
      <w:sz w:val="24"/>
      <w:szCs w:val="24"/>
    </w:rPr>
  </w:style>
  <w:style w:type="character" w:customStyle="1" w:styleId="Balk5Char">
    <w:name w:val="Başlık 5 Char"/>
    <w:basedOn w:val="VarsaylanParagrafYazTipi"/>
    <w:link w:val="Balk5"/>
    <w:uiPriority w:val="9"/>
    <w:semiHidden/>
    <w:rsid w:val="005359D4"/>
    <w:rPr>
      <w:rFonts w:asciiTheme="majorHAnsi" w:eastAsiaTheme="majorEastAsia" w:hAnsiTheme="majorHAnsi" w:cstheme="majorBidi"/>
      <w:b/>
      <w:bCs/>
    </w:rPr>
  </w:style>
  <w:style w:type="character" w:customStyle="1" w:styleId="Balk6Char">
    <w:name w:val="Başlık 6 Char"/>
    <w:basedOn w:val="VarsaylanParagrafYazTipi"/>
    <w:link w:val="Balk6"/>
    <w:uiPriority w:val="9"/>
    <w:semiHidden/>
    <w:rsid w:val="005359D4"/>
    <w:rPr>
      <w:rFonts w:asciiTheme="majorHAnsi" w:eastAsiaTheme="majorEastAsia" w:hAnsiTheme="majorHAnsi" w:cstheme="majorBidi"/>
      <w:b/>
      <w:bCs/>
      <w:i/>
      <w:iCs/>
    </w:rPr>
  </w:style>
  <w:style w:type="character" w:customStyle="1" w:styleId="Balk7Char">
    <w:name w:val="Başlık 7 Char"/>
    <w:basedOn w:val="VarsaylanParagrafYazTipi"/>
    <w:link w:val="Balk7"/>
    <w:uiPriority w:val="9"/>
    <w:semiHidden/>
    <w:rsid w:val="005359D4"/>
    <w:rPr>
      <w:i/>
      <w:iCs/>
    </w:rPr>
  </w:style>
  <w:style w:type="character" w:customStyle="1" w:styleId="Balk8Char">
    <w:name w:val="Başlık 8 Char"/>
    <w:basedOn w:val="VarsaylanParagrafYazTipi"/>
    <w:link w:val="Balk8"/>
    <w:uiPriority w:val="9"/>
    <w:semiHidden/>
    <w:rsid w:val="005359D4"/>
    <w:rPr>
      <w:b/>
      <w:bCs/>
    </w:rPr>
  </w:style>
  <w:style w:type="character" w:customStyle="1" w:styleId="Balk9Char">
    <w:name w:val="Başlık 9 Char"/>
    <w:basedOn w:val="VarsaylanParagrafYazTipi"/>
    <w:link w:val="Balk9"/>
    <w:uiPriority w:val="9"/>
    <w:semiHidden/>
    <w:rsid w:val="005359D4"/>
    <w:rPr>
      <w:i/>
      <w:iCs/>
    </w:rPr>
  </w:style>
  <w:style w:type="paragraph" w:styleId="ResimYazs">
    <w:name w:val="caption"/>
    <w:basedOn w:val="Normal"/>
    <w:next w:val="Normal"/>
    <w:uiPriority w:val="35"/>
    <w:semiHidden/>
    <w:unhideWhenUsed/>
    <w:qFormat/>
    <w:rsid w:val="005359D4"/>
    <w:rPr>
      <w:b/>
      <w:bCs/>
      <w:sz w:val="18"/>
      <w:szCs w:val="18"/>
    </w:rPr>
  </w:style>
  <w:style w:type="paragraph" w:styleId="Altyaz">
    <w:name w:val="Subtitle"/>
    <w:basedOn w:val="Normal"/>
    <w:next w:val="Normal"/>
    <w:link w:val="AltyazChar"/>
    <w:uiPriority w:val="11"/>
    <w:qFormat/>
    <w:rsid w:val="005359D4"/>
    <w:pPr>
      <w:numPr>
        <w:ilvl w:val="1"/>
      </w:numPr>
      <w:spacing w:after="240"/>
      <w:jc w:val="center"/>
    </w:pPr>
    <w:rPr>
      <w:rFonts w:asciiTheme="majorHAnsi" w:eastAsiaTheme="majorEastAsia" w:hAnsiTheme="majorHAnsi" w:cstheme="majorBidi"/>
      <w:sz w:val="24"/>
      <w:szCs w:val="24"/>
    </w:rPr>
  </w:style>
  <w:style w:type="character" w:customStyle="1" w:styleId="AltyazChar">
    <w:name w:val="Altyazı Char"/>
    <w:basedOn w:val="VarsaylanParagrafYazTipi"/>
    <w:link w:val="Altyaz"/>
    <w:uiPriority w:val="11"/>
    <w:rsid w:val="005359D4"/>
    <w:rPr>
      <w:rFonts w:asciiTheme="majorHAnsi" w:eastAsiaTheme="majorEastAsia" w:hAnsiTheme="majorHAnsi" w:cstheme="majorBidi"/>
      <w:sz w:val="24"/>
      <w:szCs w:val="24"/>
    </w:rPr>
  </w:style>
  <w:style w:type="character" w:styleId="Gl">
    <w:name w:val="Strong"/>
    <w:basedOn w:val="VarsaylanParagrafYazTipi"/>
    <w:uiPriority w:val="22"/>
    <w:qFormat/>
    <w:rsid w:val="005359D4"/>
    <w:rPr>
      <w:b/>
      <w:bCs/>
      <w:color w:val="auto"/>
    </w:rPr>
  </w:style>
  <w:style w:type="character" w:styleId="Vurgu">
    <w:name w:val="Emphasis"/>
    <w:basedOn w:val="VarsaylanParagrafYazTipi"/>
    <w:uiPriority w:val="20"/>
    <w:qFormat/>
    <w:rsid w:val="005359D4"/>
    <w:rPr>
      <w:i/>
      <w:iCs/>
      <w:color w:val="auto"/>
    </w:rPr>
  </w:style>
  <w:style w:type="paragraph" w:styleId="AralkYok">
    <w:name w:val="No Spacing"/>
    <w:uiPriority w:val="1"/>
    <w:qFormat/>
    <w:rsid w:val="005359D4"/>
    <w:pPr>
      <w:spacing w:after="0" w:line="240" w:lineRule="auto"/>
    </w:pPr>
  </w:style>
  <w:style w:type="paragraph" w:styleId="Alnt">
    <w:name w:val="Quote"/>
    <w:basedOn w:val="Normal"/>
    <w:next w:val="Normal"/>
    <w:link w:val="AlntChar"/>
    <w:uiPriority w:val="29"/>
    <w:qFormat/>
    <w:rsid w:val="005359D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lntChar">
    <w:name w:val="Alıntı Char"/>
    <w:basedOn w:val="VarsaylanParagrafYazTipi"/>
    <w:link w:val="Alnt"/>
    <w:uiPriority w:val="29"/>
    <w:rsid w:val="005359D4"/>
    <w:rPr>
      <w:rFonts w:asciiTheme="majorHAnsi" w:eastAsiaTheme="majorEastAsia" w:hAnsiTheme="majorHAnsi" w:cstheme="majorBidi"/>
      <w:i/>
      <w:iCs/>
      <w:sz w:val="24"/>
      <w:szCs w:val="24"/>
    </w:rPr>
  </w:style>
  <w:style w:type="paragraph" w:styleId="GlAlnt">
    <w:name w:val="Intense Quote"/>
    <w:basedOn w:val="Normal"/>
    <w:next w:val="Normal"/>
    <w:link w:val="GlAlntChar"/>
    <w:uiPriority w:val="30"/>
    <w:qFormat/>
    <w:rsid w:val="005359D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GlAlntChar">
    <w:name w:val="Güçlü Alıntı Char"/>
    <w:basedOn w:val="VarsaylanParagrafYazTipi"/>
    <w:link w:val="GlAlnt"/>
    <w:uiPriority w:val="30"/>
    <w:rsid w:val="005359D4"/>
    <w:rPr>
      <w:rFonts w:asciiTheme="majorHAnsi" w:eastAsiaTheme="majorEastAsia" w:hAnsiTheme="majorHAnsi" w:cstheme="majorBidi"/>
      <w:sz w:val="26"/>
      <w:szCs w:val="26"/>
    </w:rPr>
  </w:style>
  <w:style w:type="character" w:styleId="HafifVurgulama">
    <w:name w:val="Subtle Emphasis"/>
    <w:basedOn w:val="VarsaylanParagrafYazTipi"/>
    <w:uiPriority w:val="19"/>
    <w:qFormat/>
    <w:rsid w:val="005359D4"/>
    <w:rPr>
      <w:i/>
      <w:iCs/>
      <w:color w:val="auto"/>
    </w:rPr>
  </w:style>
  <w:style w:type="character" w:styleId="GlVurgulama">
    <w:name w:val="Intense Emphasis"/>
    <w:basedOn w:val="VarsaylanParagrafYazTipi"/>
    <w:uiPriority w:val="21"/>
    <w:qFormat/>
    <w:rsid w:val="005359D4"/>
    <w:rPr>
      <w:b/>
      <w:bCs/>
      <w:i/>
      <w:iCs/>
      <w:color w:val="auto"/>
    </w:rPr>
  </w:style>
  <w:style w:type="character" w:styleId="HafifBavuru">
    <w:name w:val="Subtle Reference"/>
    <w:basedOn w:val="VarsaylanParagrafYazTipi"/>
    <w:uiPriority w:val="31"/>
    <w:qFormat/>
    <w:rsid w:val="005359D4"/>
    <w:rPr>
      <w:smallCaps/>
      <w:color w:val="auto"/>
      <w:u w:val="single" w:color="7F7F7F" w:themeColor="text1" w:themeTint="80"/>
    </w:rPr>
  </w:style>
  <w:style w:type="character" w:styleId="GlBavuru">
    <w:name w:val="Intense Reference"/>
    <w:basedOn w:val="VarsaylanParagrafYazTipi"/>
    <w:uiPriority w:val="32"/>
    <w:qFormat/>
    <w:rsid w:val="005359D4"/>
    <w:rPr>
      <w:b/>
      <w:bCs/>
      <w:smallCaps/>
      <w:color w:val="auto"/>
      <w:u w:val="single"/>
    </w:rPr>
  </w:style>
  <w:style w:type="character" w:styleId="KitapBal">
    <w:name w:val="Book Title"/>
    <w:basedOn w:val="VarsaylanParagrafYazTipi"/>
    <w:uiPriority w:val="33"/>
    <w:qFormat/>
    <w:rsid w:val="005359D4"/>
    <w:rPr>
      <w:b/>
      <w:bCs/>
      <w:smallCaps/>
      <w:color w:val="auto"/>
    </w:rPr>
  </w:style>
  <w:style w:type="paragraph" w:styleId="TBal">
    <w:name w:val="TOC Heading"/>
    <w:basedOn w:val="Balk1"/>
    <w:next w:val="Normal"/>
    <w:uiPriority w:val="39"/>
    <w:semiHidden/>
    <w:unhideWhenUsed/>
    <w:qFormat/>
    <w:rsid w:val="005359D4"/>
    <w:pPr>
      <w:outlineLvl w:val="9"/>
    </w:pPr>
  </w:style>
  <w:style w:type="character" w:customStyle="1" w:styleId="ListLabel44">
    <w:name w:val="ListLabel 44"/>
    <w:qFormat/>
    <w:rsid w:val="005359D4"/>
    <w:rPr>
      <w:rFonts w:ascii="Times New Roman" w:eastAsia="Times New Roman" w:hAnsi="Times New Roman" w:cs="Times New Roman"/>
      <w:color w:val="CE181E"/>
      <w:u w:val="single"/>
    </w:rPr>
  </w:style>
  <w:style w:type="paragraph" w:customStyle="1" w:styleId="TableParagraph">
    <w:name w:val="Table Paragraph"/>
    <w:basedOn w:val="Normal"/>
    <w:uiPriority w:val="1"/>
    <w:qFormat/>
    <w:rsid w:val="00AD6D74"/>
    <w:pPr>
      <w:widowControl w:val="0"/>
      <w:autoSpaceDE w:val="0"/>
      <w:autoSpaceDN w:val="0"/>
      <w:spacing w:after="0"/>
      <w:jc w:val="left"/>
    </w:pPr>
    <w:rPr>
      <w:rFonts w:eastAsia="Arial" w:cs="Arial"/>
      <w:sz w:val="20"/>
      <w:lang w:val="en-US"/>
    </w:rPr>
  </w:style>
  <w:style w:type="table" w:styleId="KlavuzTablo1Ak">
    <w:name w:val="Grid Table 1 Light"/>
    <w:basedOn w:val="NormalTablo"/>
    <w:uiPriority w:val="46"/>
    <w:rsid w:val="00D65B9D"/>
    <w:pPr>
      <w:spacing w:after="0" w:line="240" w:lineRule="auto"/>
    </w:pPr>
    <w:rPr>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D65B9D"/>
    <w:pPr>
      <w:spacing w:after="0" w:line="240" w:lineRule="auto"/>
    </w:pPr>
    <w:rPr>
      <w:sz w:val="20"/>
      <w:szCs w:val="20"/>
    </w:rPr>
    <w:tblPr>
      <w:tblStyleRowBandSize w:val="1"/>
      <w:tblStyleColBandSize w:val="1"/>
      <w:tblBorders>
        <w:top w:val="single" w:sz="4" w:space="0" w:color="F48CC2" w:themeColor="accent1" w:themeTint="66"/>
        <w:left w:val="single" w:sz="4" w:space="0" w:color="F48CC2" w:themeColor="accent1" w:themeTint="66"/>
        <w:bottom w:val="single" w:sz="4" w:space="0" w:color="F48CC2" w:themeColor="accent1" w:themeTint="66"/>
        <w:right w:val="single" w:sz="4" w:space="0" w:color="F48CC2" w:themeColor="accent1" w:themeTint="66"/>
        <w:insideH w:val="single" w:sz="4" w:space="0" w:color="F48CC2" w:themeColor="accent1" w:themeTint="66"/>
        <w:insideV w:val="single" w:sz="4" w:space="0" w:color="F48CC2" w:themeColor="accent1" w:themeTint="66"/>
      </w:tblBorders>
    </w:tblPr>
    <w:tblStylePr w:type="firstRow">
      <w:rPr>
        <w:b/>
        <w:bCs/>
      </w:rPr>
      <w:tblPr/>
      <w:tcPr>
        <w:tcBorders>
          <w:bottom w:val="single" w:sz="12" w:space="0" w:color="EE52A4" w:themeColor="accent1" w:themeTint="99"/>
        </w:tcBorders>
      </w:tcPr>
    </w:tblStylePr>
    <w:tblStylePr w:type="lastRow">
      <w:rPr>
        <w:b/>
        <w:bCs/>
      </w:rPr>
      <w:tblPr/>
      <w:tcPr>
        <w:tcBorders>
          <w:top w:val="double" w:sz="2" w:space="0" w:color="EE52A4" w:themeColor="accent1" w:themeTint="99"/>
        </w:tcBorders>
      </w:tcPr>
    </w:tblStylePr>
    <w:tblStylePr w:type="firstCol">
      <w:rPr>
        <w:b/>
        <w:bCs/>
      </w:rPr>
    </w:tblStylePr>
    <w:tblStylePr w:type="lastCol">
      <w:rPr>
        <w:b/>
        <w:bCs/>
      </w:rPr>
    </w:tblStylePr>
  </w:style>
  <w:style w:type="table" w:styleId="TabloKlavuzu">
    <w:name w:val="Table Grid"/>
    <w:basedOn w:val="NormalTablo"/>
    <w:uiPriority w:val="39"/>
    <w:rsid w:val="00D65B9D"/>
    <w:pPr>
      <w:spacing w:after="0" w:line="240" w:lineRule="auto"/>
      <w:jc w:val="left"/>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D65B9D"/>
    <w:pPr>
      <w:spacing w:after="0"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AD79F7"/>
    <w:pPr>
      <w:spacing w:before="100" w:beforeAutospacing="1" w:after="100" w:afterAutospacing="1"/>
      <w:jc w:val="left"/>
    </w:pPr>
    <w:rPr>
      <w:rFonts w:ascii="Times New Roman" w:eastAsia="Times New Roman" w:hAnsi="Times New Roman" w:cs="Times New Roman"/>
      <w:sz w:val="24"/>
      <w:szCs w:val="24"/>
      <w:lang w:val="en-US"/>
    </w:rPr>
  </w:style>
  <w:style w:type="table" w:styleId="KlavuzTablo5Koyu-Vurgu4">
    <w:name w:val="Grid Table 5 Dark Accent 4"/>
    <w:basedOn w:val="NormalTablo"/>
    <w:uiPriority w:val="50"/>
    <w:rsid w:val="00E11468"/>
    <w:pPr>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9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943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943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943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943A" w:themeFill="accent4"/>
      </w:tcPr>
    </w:tblStylePr>
    <w:tblStylePr w:type="band1Vert">
      <w:tblPr/>
      <w:tcPr>
        <w:shd w:val="clear" w:color="auto" w:fill="F6D4B0" w:themeFill="accent4" w:themeFillTint="66"/>
      </w:tcPr>
    </w:tblStylePr>
    <w:tblStylePr w:type="band1Horz">
      <w:tblPr/>
      <w:tcPr>
        <w:shd w:val="clear" w:color="auto" w:fill="F6D4B0" w:themeFill="accent4" w:themeFillTint="66"/>
      </w:tcPr>
    </w:tblStylePr>
  </w:style>
  <w:style w:type="character" w:styleId="zmlenmeyenBahsetme">
    <w:name w:val="Unresolved Mention"/>
    <w:basedOn w:val="VarsaylanParagrafYazTipi"/>
    <w:uiPriority w:val="99"/>
    <w:semiHidden/>
    <w:unhideWhenUsed/>
    <w:rsid w:val="00535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5500">
      <w:bodyDiv w:val="1"/>
      <w:marLeft w:val="0"/>
      <w:marRight w:val="0"/>
      <w:marTop w:val="0"/>
      <w:marBottom w:val="0"/>
      <w:divBdr>
        <w:top w:val="none" w:sz="0" w:space="0" w:color="auto"/>
        <w:left w:val="none" w:sz="0" w:space="0" w:color="auto"/>
        <w:bottom w:val="none" w:sz="0" w:space="0" w:color="auto"/>
        <w:right w:val="none" w:sz="0" w:space="0" w:color="auto"/>
      </w:divBdr>
      <w:divsChild>
        <w:div w:id="422266301">
          <w:marLeft w:val="547"/>
          <w:marRight w:val="0"/>
          <w:marTop w:val="115"/>
          <w:marBottom w:val="0"/>
          <w:divBdr>
            <w:top w:val="none" w:sz="0" w:space="0" w:color="auto"/>
            <w:left w:val="none" w:sz="0" w:space="0" w:color="auto"/>
            <w:bottom w:val="none" w:sz="0" w:space="0" w:color="auto"/>
            <w:right w:val="none" w:sz="0" w:space="0" w:color="auto"/>
          </w:divBdr>
        </w:div>
      </w:divsChild>
    </w:div>
    <w:div w:id="138884810">
      <w:bodyDiv w:val="1"/>
      <w:marLeft w:val="0"/>
      <w:marRight w:val="0"/>
      <w:marTop w:val="0"/>
      <w:marBottom w:val="0"/>
      <w:divBdr>
        <w:top w:val="none" w:sz="0" w:space="0" w:color="auto"/>
        <w:left w:val="none" w:sz="0" w:space="0" w:color="auto"/>
        <w:bottom w:val="none" w:sz="0" w:space="0" w:color="auto"/>
        <w:right w:val="none" w:sz="0" w:space="0" w:color="auto"/>
      </w:divBdr>
    </w:div>
    <w:div w:id="171992773">
      <w:bodyDiv w:val="1"/>
      <w:marLeft w:val="0"/>
      <w:marRight w:val="0"/>
      <w:marTop w:val="0"/>
      <w:marBottom w:val="0"/>
      <w:divBdr>
        <w:top w:val="none" w:sz="0" w:space="0" w:color="auto"/>
        <w:left w:val="none" w:sz="0" w:space="0" w:color="auto"/>
        <w:bottom w:val="none" w:sz="0" w:space="0" w:color="auto"/>
        <w:right w:val="none" w:sz="0" w:space="0" w:color="auto"/>
      </w:divBdr>
    </w:div>
    <w:div w:id="300312771">
      <w:bodyDiv w:val="1"/>
      <w:marLeft w:val="0"/>
      <w:marRight w:val="0"/>
      <w:marTop w:val="0"/>
      <w:marBottom w:val="0"/>
      <w:divBdr>
        <w:top w:val="none" w:sz="0" w:space="0" w:color="auto"/>
        <w:left w:val="none" w:sz="0" w:space="0" w:color="auto"/>
        <w:bottom w:val="none" w:sz="0" w:space="0" w:color="auto"/>
        <w:right w:val="none" w:sz="0" w:space="0" w:color="auto"/>
      </w:divBdr>
    </w:div>
    <w:div w:id="521939507">
      <w:bodyDiv w:val="1"/>
      <w:marLeft w:val="0"/>
      <w:marRight w:val="0"/>
      <w:marTop w:val="0"/>
      <w:marBottom w:val="0"/>
      <w:divBdr>
        <w:top w:val="none" w:sz="0" w:space="0" w:color="auto"/>
        <w:left w:val="none" w:sz="0" w:space="0" w:color="auto"/>
        <w:bottom w:val="none" w:sz="0" w:space="0" w:color="auto"/>
        <w:right w:val="none" w:sz="0" w:space="0" w:color="auto"/>
      </w:divBdr>
    </w:div>
    <w:div w:id="1007291709">
      <w:bodyDiv w:val="1"/>
      <w:marLeft w:val="0"/>
      <w:marRight w:val="0"/>
      <w:marTop w:val="0"/>
      <w:marBottom w:val="0"/>
      <w:divBdr>
        <w:top w:val="none" w:sz="0" w:space="0" w:color="auto"/>
        <w:left w:val="none" w:sz="0" w:space="0" w:color="auto"/>
        <w:bottom w:val="none" w:sz="0" w:space="0" w:color="auto"/>
        <w:right w:val="none" w:sz="0" w:space="0" w:color="auto"/>
      </w:divBdr>
    </w:div>
    <w:div w:id="1087926517">
      <w:bodyDiv w:val="1"/>
      <w:marLeft w:val="0"/>
      <w:marRight w:val="0"/>
      <w:marTop w:val="0"/>
      <w:marBottom w:val="0"/>
      <w:divBdr>
        <w:top w:val="none" w:sz="0" w:space="0" w:color="auto"/>
        <w:left w:val="none" w:sz="0" w:space="0" w:color="auto"/>
        <w:bottom w:val="none" w:sz="0" w:space="0" w:color="auto"/>
        <w:right w:val="none" w:sz="0" w:space="0" w:color="auto"/>
      </w:divBdr>
    </w:div>
    <w:div w:id="1450050045">
      <w:bodyDiv w:val="1"/>
      <w:marLeft w:val="0"/>
      <w:marRight w:val="0"/>
      <w:marTop w:val="0"/>
      <w:marBottom w:val="0"/>
      <w:divBdr>
        <w:top w:val="none" w:sz="0" w:space="0" w:color="auto"/>
        <w:left w:val="none" w:sz="0" w:space="0" w:color="auto"/>
        <w:bottom w:val="none" w:sz="0" w:space="0" w:color="auto"/>
        <w:right w:val="none" w:sz="0" w:space="0" w:color="auto"/>
      </w:divBdr>
    </w:div>
    <w:div w:id="1476213361">
      <w:bodyDiv w:val="1"/>
      <w:marLeft w:val="0"/>
      <w:marRight w:val="0"/>
      <w:marTop w:val="0"/>
      <w:marBottom w:val="0"/>
      <w:divBdr>
        <w:top w:val="none" w:sz="0" w:space="0" w:color="auto"/>
        <w:left w:val="none" w:sz="0" w:space="0" w:color="auto"/>
        <w:bottom w:val="none" w:sz="0" w:space="0" w:color="auto"/>
        <w:right w:val="none" w:sz="0" w:space="0" w:color="auto"/>
      </w:divBdr>
    </w:div>
    <w:div w:id="1582564820">
      <w:bodyDiv w:val="1"/>
      <w:marLeft w:val="0"/>
      <w:marRight w:val="0"/>
      <w:marTop w:val="0"/>
      <w:marBottom w:val="0"/>
      <w:divBdr>
        <w:top w:val="none" w:sz="0" w:space="0" w:color="auto"/>
        <w:left w:val="none" w:sz="0" w:space="0" w:color="auto"/>
        <w:bottom w:val="none" w:sz="0" w:space="0" w:color="auto"/>
        <w:right w:val="none" w:sz="0" w:space="0" w:color="auto"/>
      </w:divBdr>
    </w:div>
    <w:div w:id="1831212118">
      <w:bodyDiv w:val="1"/>
      <w:marLeft w:val="0"/>
      <w:marRight w:val="0"/>
      <w:marTop w:val="0"/>
      <w:marBottom w:val="0"/>
      <w:divBdr>
        <w:top w:val="none" w:sz="0" w:space="0" w:color="auto"/>
        <w:left w:val="none" w:sz="0" w:space="0" w:color="auto"/>
        <w:bottom w:val="none" w:sz="0" w:space="0" w:color="auto"/>
        <w:right w:val="none" w:sz="0" w:space="0" w:color="auto"/>
      </w:divBdr>
    </w:div>
    <w:div w:id="200647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lomaliye.com/1991/04/12/3713-sayili-kanun-terorle-mucadele-kanunu/" TargetMode="External"/><Relationship Id="rId2" Type="http://schemas.openxmlformats.org/officeDocument/2006/relationships/numbering" Target="numbering.xml"/><Relationship Id="rId16" Type="http://schemas.openxmlformats.org/officeDocument/2006/relationships/hyperlink" Target="http://www.alomaliye.com/2004/10/12/turk-ceza-kanunu-5237-sayili-kanu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2.tbmm.gov.tr/d27/7/7-5380c.pdf" TargetMode="External"/><Relationship Id="rId3" Type="http://schemas.openxmlformats.org/officeDocument/2006/relationships/hyperlink" Target="https://www.venice.coe.int/webforms/documents/?pdf=CDL-AD(2017)007-e" TargetMode="External"/><Relationship Id="rId7" Type="http://schemas.openxmlformats.org/officeDocument/2006/relationships/hyperlink" Target="https://bianet.org/bianet/bia-medya-gozlem/205589-bia-medya-gozlem-2018-habercinin-medyanin-bir-yili" TargetMode="External"/><Relationship Id="rId2" Type="http://schemas.openxmlformats.org/officeDocument/2006/relationships/hyperlink" Target="https://www.venice.coe.int/webforms/documents/?pdf=CDL-AD(2016)002-e" TargetMode="External"/><Relationship Id="rId1" Type="http://schemas.openxmlformats.org/officeDocument/2006/relationships/hyperlink" Target="http://www.ihop.org.tr/wp-content/uploads/2018/04/Ola%C4%9Fan%C3%BCst%C3%BC-Hal_17042018.pdf" TargetMode="External"/><Relationship Id="rId6" Type="http://schemas.openxmlformats.org/officeDocument/2006/relationships/hyperlink" Target="http://www.ihop.org.tr/wp-content/uploads/2018/04/Ola%C4%9Fan%C3%BCst%C3%BC-Hal_17042018.pdf" TargetMode="External"/><Relationship Id="rId5" Type="http://schemas.openxmlformats.org/officeDocument/2006/relationships/hyperlink" Target="https://documents-dds-ny.un.org/doc/UNDOC/GEN/G17/170/40/PDF/G1717040.pdf?OpenElement" TargetMode="External"/><Relationship Id="rId10" Type="http://schemas.openxmlformats.org/officeDocument/2006/relationships/hyperlink" Target="https://privacy.cyber-rights.org.tr/wp-content/uploads/2019/06/EngelliWeb_2018.pdf" TargetMode="External"/><Relationship Id="rId4" Type="http://schemas.openxmlformats.org/officeDocument/2006/relationships/hyperlink" Target="https://www.venice.coe.int/webforms/documents/?pdf=CDL-AD(2016)011-e" TargetMode="External"/><Relationship Id="rId9" Type="http://schemas.openxmlformats.org/officeDocument/2006/relationships/hyperlink" Target="http://www.resmigazete.gov.tr/eskiler/2018/12/20181214-10.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yon Toplantı Odası">
  <a:themeElements>
    <a:clrScheme name="İyon Toplantı Odası">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yon Toplantı Odası">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yon Toplantı Odası">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3546F-F744-4A92-93B3-A39FB98F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1176</Words>
  <Characters>6708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Habibe Feray Salman</dc:creator>
  <cp:keywords/>
  <dc:description/>
  <cp:lastModifiedBy>Habibe Feray Salman</cp:lastModifiedBy>
  <cp:revision>2</cp:revision>
  <cp:lastPrinted>2019-07-24T13:10:00Z</cp:lastPrinted>
  <dcterms:created xsi:type="dcterms:W3CDTF">2019-07-26T10:59:00Z</dcterms:created>
  <dcterms:modified xsi:type="dcterms:W3CDTF">2019-07-26T10:59:00Z</dcterms:modified>
</cp:coreProperties>
</file>