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032C" w14:textId="15A2406C" w:rsidR="00FD5AF3" w:rsidRDefault="00FD5AF3" w:rsidP="00C26484">
      <w:pPr>
        <w:pStyle w:val="Balk1"/>
        <w:jc w:val="center"/>
      </w:pPr>
      <w:r>
        <w:t>Dördüncü EPİ döngüsünde ara dönem raporlama</w:t>
      </w:r>
      <w:r w:rsidR="00C26484">
        <w:rPr>
          <w:rStyle w:val="DipnotBavurusu"/>
        </w:rPr>
        <w:footnoteReference w:id="1"/>
      </w:r>
    </w:p>
    <w:p w14:paraId="44D4D549" w14:textId="2F0C99F2" w:rsidR="00FD5AF3" w:rsidRDefault="00FD5AF3" w:rsidP="00C26484">
      <w:pPr>
        <w:pStyle w:val="Balk1"/>
      </w:pPr>
      <w:r>
        <w:t xml:space="preserve">Giriş </w:t>
      </w:r>
    </w:p>
    <w:p w14:paraId="3407345A" w14:textId="77777777" w:rsidR="00FD5AF3" w:rsidRDefault="00FD5AF3" w:rsidP="00FD5AF3"/>
    <w:p w14:paraId="13702A94" w14:textId="4713FFC7" w:rsidR="00FD5AF3" w:rsidRDefault="00FD5AF3" w:rsidP="00FD5AF3">
      <w:r>
        <w:t xml:space="preserve">EPİ raporlama ve uygulama döngülerinin giderek önem kazanan bir özelliği de Devletler ve EPİ sürecine dahil olan diğer aktörler tarafından sunulan ara dönem raporlarıdır. </w:t>
      </w:r>
      <w:proofErr w:type="spellStart"/>
      <w:r>
        <w:t>İHK'nin</w:t>
      </w:r>
      <w:proofErr w:type="spellEnd"/>
      <w:r>
        <w:t xml:space="preserve"> 16/21 sayılı "İnsan Hakları Konseyinin çalışma ve işleyişinin gözden geçirilmesi" başlıklı kararının gözden geçirmenin takibine ilişkin E.18 bölümünde "Devletlerin, gönüllülük esasına dayalı olarak, kabul edilen tavsiyelerin takibine ilişkin ara dönem güncellemelerini Konseye sunmaları teşvik edilmektedir" ifadesi yer almaktadır.</w:t>
      </w:r>
    </w:p>
    <w:p w14:paraId="511E26FD" w14:textId="77777777" w:rsidR="00FD5AF3" w:rsidRDefault="00FD5AF3" w:rsidP="00FD5AF3"/>
    <w:p w14:paraId="0CCA8CBC" w14:textId="5AB3CF95" w:rsidR="00FD5AF3" w:rsidRDefault="00FD5AF3" w:rsidP="00FD5AF3">
      <w:r>
        <w:t xml:space="preserve">27 Eylül 2022 itibariyle, toplam 84 Devlet gönüllülük esasına dayalı olarak EPİ ara dönem raporlarını sunmuş olup, bu raporlar özel bir web sayfasında alındığı şekliyle yayınlanmaktadır. Ara dönem raporları ayrıca STK'lar, </w:t>
      </w:r>
      <w:r w:rsidR="00896F27">
        <w:t>Ulusal İnsan Hakları Kurumları (</w:t>
      </w:r>
      <w:r>
        <w:t>UİHK</w:t>
      </w:r>
      <w:r w:rsidR="00896F27">
        <w:t>)</w:t>
      </w:r>
      <w:r>
        <w:t xml:space="preserve"> ve BM kuruluşları (UNCT) dahil olmak üzere paydaşlar tarafından da sunulmakta ve paydaşlara göre özel ara dönem raporları web sayfalarında alındıkça yayınlanmaktadır. </w:t>
      </w:r>
    </w:p>
    <w:p w14:paraId="104E05F4" w14:textId="77777777" w:rsidR="00FD5AF3" w:rsidRDefault="00FD5AF3" w:rsidP="00C26484">
      <w:pPr>
        <w:pStyle w:val="Balk2"/>
      </w:pPr>
      <w:r>
        <w:t xml:space="preserve">Ara dönem </w:t>
      </w:r>
      <w:r w:rsidRPr="00C26484">
        <w:t>raporlamanın</w:t>
      </w:r>
      <w:r>
        <w:t xml:space="preserve"> faydaları</w:t>
      </w:r>
    </w:p>
    <w:p w14:paraId="6E412EB9" w14:textId="4DE8FF50" w:rsidR="00FD5AF3" w:rsidRDefault="00FD5AF3" w:rsidP="00FD5AF3">
      <w:r>
        <w:t xml:space="preserve">Ara dönem raporları, Devletlerin EPİ tavsiyelerini uygulama konusunda hangi aşamada olduklarının değerlendirilmesine olanak tanır. Bu tür raporların hazırlanma süreci de en az sonuçları kadar önemlidir ve icracı Bakanlıklar, Devlet kurumları, yerel ve bölgesel Hükümetlerin yanı sıra UİHK ve sivil toplum kuruluşları gibi diğer paydaşlarla geniş çaplı istişarelere olanak sağlar.  Ara dönem raporları ayrıca </w:t>
      </w:r>
      <w:r w:rsidR="002D3052">
        <w:t>Ulusal İnsan Hakları Kurumları (UİHK)</w:t>
      </w:r>
      <w:r>
        <w:t>, STK'lar ve BM sistemi için savunuculuk, kurumsal yapılanma ve uygulama araçları ve stratejilerinin geliştirilmesi dahil olmak üzere uygulamaya yönelik attıkları adımları detaylandırma fırsatı sunar.</w:t>
      </w:r>
    </w:p>
    <w:p w14:paraId="55AA6106" w14:textId="77777777" w:rsidR="00FD5AF3" w:rsidRDefault="00FD5AF3" w:rsidP="00FD5AF3"/>
    <w:p w14:paraId="0458F9BA" w14:textId="4A6969FD" w:rsidR="00FD5AF3" w:rsidRDefault="00FD5AF3" w:rsidP="00FD5AF3">
      <w:r>
        <w:t xml:space="preserve">Ara dönem raporlarının hazırlanması hesap verebilirliği teşvik eder, engellerin ve fırsatların tanımlanmasına olanak tanır ve ulusal düzeyde koordinasyonu teşvik etme potansiyeline sahiptir. Ara dönem raporları aynı zamanda </w:t>
      </w:r>
      <w:r w:rsidR="002D3052">
        <w:t>B</w:t>
      </w:r>
      <w:r w:rsidR="00F666EE">
        <w:t xml:space="preserve">M </w:t>
      </w:r>
      <w:r w:rsidR="002D3052" w:rsidRPr="002D3052">
        <w:t>Ülke Ekipleri</w:t>
      </w:r>
      <w:r w:rsidR="002D3052">
        <w:t>’nin</w:t>
      </w:r>
      <w:r w:rsidR="002D3052">
        <w:rPr>
          <w:sz w:val="28"/>
          <w:szCs w:val="28"/>
        </w:rPr>
        <w:t xml:space="preserve"> (</w:t>
      </w:r>
      <w:r>
        <w:t>UNCT</w:t>
      </w:r>
      <w:r w:rsidR="002D3052">
        <w:t>)</w:t>
      </w:r>
      <w:r>
        <w:t xml:space="preserve"> uygulama çabalarını desteklemesi için bir fırsat </w:t>
      </w:r>
      <w:r w:rsidR="00F666EE">
        <w:t>sunar-</w:t>
      </w:r>
      <w:r>
        <w:t xml:space="preserve"> özellikle incelenen Devlete </w:t>
      </w:r>
      <w:r w:rsidR="002D3052">
        <w:t>Resmi Kalkınma Yardımı (</w:t>
      </w:r>
      <w:proofErr w:type="gramStart"/>
      <w:r>
        <w:t>ODA</w:t>
      </w:r>
      <w:r w:rsidR="002D3052">
        <w:t xml:space="preserve">) </w:t>
      </w:r>
      <w:r>
        <w:t xml:space="preserve"> sağladıkları</w:t>
      </w:r>
      <w:proofErr w:type="gramEnd"/>
      <w:r>
        <w:t xml:space="preserve"> durumlarda tavsiye eden Devletler de dahil olmak üzere ve Devletlerin ulusal EPİ raporlarını hazırlama çabalarını kolaylaştırır.</w:t>
      </w:r>
    </w:p>
    <w:p w14:paraId="6471002D" w14:textId="77777777" w:rsidR="00FD5AF3" w:rsidRDefault="00FD5AF3" w:rsidP="00FD5AF3"/>
    <w:p w14:paraId="5E20B39C" w14:textId="42903823" w:rsidR="00FD5AF3" w:rsidRDefault="00FD5AF3" w:rsidP="00FD5AF3">
      <w:r>
        <w:t xml:space="preserve">EPİ sonuçlarının İnsan Hakları Konseyi tarafından kabul edilmesinin ardından Yüksek Komiser tarafından 3. EPİ döngüsünün başlamasından bu yana tüm Devletlere gönderilen mektupta, </w:t>
      </w:r>
      <w:r w:rsidR="00F666EE">
        <w:rPr>
          <w:rStyle w:val="DipnotBavurusu"/>
        </w:rPr>
        <w:footnoteReference w:id="2"/>
      </w:r>
      <w:r>
        <w:t>EPİ ara dönem raporlarının "takip eylemine olumlu katkıda bulunabilecek önemli bir tedbir" olduğu belirtilmektedir. Bu nedenle Yüksek Komiser, tüm Üye Devletleri EPİ sonuç raporunun kabul edilmesinden iki yıl sonra gönüllü bir ara dönem raporu sunmaya güçlü bir şekilde teşvik etmiştir.</w:t>
      </w:r>
    </w:p>
    <w:p w14:paraId="7242DE8B" w14:textId="77777777" w:rsidR="00FD5AF3" w:rsidRDefault="00FD5AF3" w:rsidP="00016FE3">
      <w:pPr>
        <w:pStyle w:val="Balk2"/>
      </w:pPr>
      <w:r>
        <w:t>Ortaya çıkan bir iyi uygulama</w:t>
      </w:r>
    </w:p>
    <w:p w14:paraId="2E1FC717" w14:textId="77777777" w:rsidR="00FD5AF3" w:rsidRDefault="00FD5AF3" w:rsidP="00FD5AF3">
      <w:r>
        <w:t xml:space="preserve">Haziran 2021'de yayınlanan Evrensel Periyodik İncelemeden Ortaya Çıkan İyi Uygulamalar Üzerine Bir Çalışma, işbirliğinin orta vadeli raporların hazırlanmasında belirleyici bir özellik </w:t>
      </w:r>
      <w:r>
        <w:lastRenderedPageBreak/>
        <w:t xml:space="preserve">olduğunu vurgulamıştır. Dünyanın dört bir yanındaki hükümetler, farklı ulusal aktörlerle istişareye dayalı iyi uygulama modelini izleyerek orta vadeli raporlar sunmaktadır. </w:t>
      </w:r>
    </w:p>
    <w:p w14:paraId="142580F2" w14:textId="77777777" w:rsidR="00FD5AF3" w:rsidRDefault="00FD5AF3" w:rsidP="00FD5AF3"/>
    <w:p w14:paraId="7DD0713E" w14:textId="1419093F" w:rsidR="00FD5AF3" w:rsidRDefault="00FD5AF3" w:rsidP="00FD5AF3">
      <w:r>
        <w:t xml:space="preserve">Örneğin, Çalışma, Gürcistan Dışişleri Bakanlığı'nın, </w:t>
      </w:r>
      <w:r w:rsidR="00F666EE">
        <w:t xml:space="preserve">BMİHYK </w:t>
      </w:r>
      <w:r>
        <w:t>'</w:t>
      </w:r>
      <w:proofErr w:type="spellStart"/>
      <w:r>
        <w:t>nin</w:t>
      </w:r>
      <w:proofErr w:type="spellEnd"/>
      <w:r w:rsidR="00F666EE">
        <w:t xml:space="preserve"> (OHCHR)</w:t>
      </w:r>
      <w:r>
        <w:t xml:space="preserve"> desteğiyle yorum ve geri bildirimleri için kendilerine sunulan ulusal veya orta vadeli raporun hazırlanması sırasında uluslararası ve sivil toplum örgütü temsilcileri ve ulusal insan hakları kurumları da dahil olmak üzere ilgili tüm paydaşlarla nasıl aktif bir şekilde işbirliği yaptığını açıklamaktadır. Sivil toplum örgütleri ve diğer paydaşlar tarafından sağlanan ilgili geri bildirimler, yorumlar ve gözlemler, ulusal raporun nihai taslağı Gürcistan Parlamentosu'nun incelemesine ve onayına sunulmadan önce dikkate alınmıştır. Danimarka Hükümeti, ara dönem raporlarının hazırlanması için sürekli olarak </w:t>
      </w:r>
      <w:r w:rsidR="00F666EE">
        <w:t xml:space="preserve">Ulusal İnsan Hakları Kurumu </w:t>
      </w:r>
      <w:r>
        <w:t>(</w:t>
      </w:r>
      <w:proofErr w:type="spellStart"/>
      <w:r>
        <w:t>D</w:t>
      </w:r>
      <w:r w:rsidR="00F666EE">
        <w:t>anish</w:t>
      </w:r>
      <w:proofErr w:type="spellEnd"/>
      <w:r w:rsidR="00F666EE">
        <w:t xml:space="preserve"> </w:t>
      </w:r>
      <w:proofErr w:type="spellStart"/>
      <w:r w:rsidR="00F666EE">
        <w:t>Institute</w:t>
      </w:r>
      <w:proofErr w:type="spellEnd"/>
      <w:r w:rsidR="00F666EE">
        <w:t xml:space="preserve"> of Human Rights</w:t>
      </w:r>
      <w:r>
        <w:t xml:space="preserve">) danışmıştır Fas Hükümeti, iki ara dönem raporunun geliştirilmesi sırasında </w:t>
      </w:r>
      <w:r w:rsidR="00F666EE">
        <w:t xml:space="preserve">Ulusal İnsan Hakları Kurumunu </w:t>
      </w:r>
      <w:r>
        <w:t xml:space="preserve">(CNDH) sürece dahil etmiştir. Malezya'da </w:t>
      </w:r>
      <w:r w:rsidR="00F666EE">
        <w:t>Ulusal İnsan Hakları Kurumu</w:t>
      </w:r>
      <w:r>
        <w:t xml:space="preserve"> (SUHAKAM) ve sivil toplum örgütleri Hükümetin ara dönem raporlarına katkı sağlamıştır.</w:t>
      </w:r>
    </w:p>
    <w:p w14:paraId="4095539B" w14:textId="77777777" w:rsidR="00FD5AF3" w:rsidRDefault="00FD5AF3" w:rsidP="00FD5AF3"/>
    <w:p w14:paraId="3BB5335B" w14:textId="00A815C8" w:rsidR="00FD5AF3" w:rsidRDefault="00FD5AF3" w:rsidP="00FD5AF3">
      <w:r>
        <w:t xml:space="preserve">Devletlerin farklı paydaşları ara dönem raporlarının hazırlanmasına dahil etme girişimleri, belirli bir ülkedeki insan haklarına ilişkin farklı bakış açılarının Hükümet raporlarına yansıtılmasını sağlamıştır. Ancak böyle bir uygulama, STK'ların ve </w:t>
      </w:r>
      <w:r w:rsidR="00F666EE">
        <w:t>Ulusal İnsan hakları Kurumlarının</w:t>
      </w:r>
      <w:r>
        <w:t xml:space="preserve"> EPİ ara dönem raporlarını bireysel veya toplu olarak sunmalarını kısıtlamamıştır. STK/</w:t>
      </w:r>
      <w:r w:rsidR="00F666EE">
        <w:t xml:space="preserve">Ulusal İnsan hakları Kurumu </w:t>
      </w:r>
      <w:r>
        <w:t xml:space="preserve">raporlarının sunulması, ara dönem raporlama sürecine gerekli bağımsız bakış açılarını getirmiştir. </w:t>
      </w:r>
    </w:p>
    <w:p w14:paraId="168A0715" w14:textId="77777777" w:rsidR="00FD5AF3" w:rsidRDefault="00FD5AF3" w:rsidP="00016FE3">
      <w:pPr>
        <w:pStyle w:val="Balk2"/>
      </w:pPr>
      <w:r>
        <w:t>Sunulan raporların biçimleri</w:t>
      </w:r>
    </w:p>
    <w:p w14:paraId="483E7E41" w14:textId="77777777" w:rsidR="00FD5AF3" w:rsidRDefault="00FD5AF3" w:rsidP="00FD5AF3"/>
    <w:p w14:paraId="146330BC" w14:textId="77777777" w:rsidR="00F666EE" w:rsidRDefault="00FD5AF3" w:rsidP="00FD5AF3">
      <w:r>
        <w:t xml:space="preserve">Devletler ve paydaşlar tarafından hazırlanan ara dönem raporlarının formatları değişiklik göstermektedir ve tek tip değildir. Kullanılan formatlar şunları içermektedir: </w:t>
      </w:r>
    </w:p>
    <w:p w14:paraId="1A4DE3FD" w14:textId="77777777" w:rsidR="00F666EE" w:rsidRDefault="00FD5AF3" w:rsidP="008015DA">
      <w:pPr>
        <w:ind w:left="720"/>
      </w:pPr>
      <w:r>
        <w:t xml:space="preserve">(1) tema veya EPİ tavsiyelerine göre alt başlıklar içeren bir anlatı; </w:t>
      </w:r>
    </w:p>
    <w:p w14:paraId="0420906D" w14:textId="77777777" w:rsidR="00F666EE" w:rsidRDefault="00FD5AF3" w:rsidP="008015DA">
      <w:pPr>
        <w:ind w:left="720"/>
      </w:pPr>
      <w:r>
        <w:t xml:space="preserve">(2) EPİ tavsiyelerini, alınan pozisyonu, takip eylemini ve lider bakanlıkları ayrı sütunlarda listeleyen bir tablo; </w:t>
      </w:r>
    </w:p>
    <w:p w14:paraId="7B9C6207" w14:textId="77777777" w:rsidR="00F666EE" w:rsidRDefault="00FD5AF3" w:rsidP="008015DA">
      <w:pPr>
        <w:ind w:left="720"/>
      </w:pPr>
      <w:r>
        <w:t xml:space="preserve">(3) tematik alt başlıklar içeren bir anlatı raporu ve ek olarak tavsiyeleri ve alınan önlemleri içeren bir özet tablo. </w:t>
      </w:r>
    </w:p>
    <w:p w14:paraId="207E6459" w14:textId="705157A6" w:rsidR="00FD5AF3" w:rsidRDefault="00FD5AF3" w:rsidP="00FD5AF3">
      <w:r>
        <w:t>Bazı ara dönem raporları, ara dönem raporunun hazırlanmasında kullanılan metodolojiye ilişkin bir giriş bölümü içerir.</w:t>
      </w:r>
    </w:p>
    <w:p w14:paraId="2BDC70EB" w14:textId="77777777" w:rsidR="00FD5AF3" w:rsidRDefault="00FD5AF3" w:rsidP="00FD5AF3"/>
    <w:p w14:paraId="69E00026" w14:textId="77777777" w:rsidR="00FD5AF3" w:rsidRDefault="00FD5AF3" w:rsidP="00FD5AF3">
      <w:r>
        <w:t xml:space="preserve">Bazı Devletler, bilgilerin görselleştirilmesini kolaylaştırmak için renk kodlamasına başvurmuştur. Örneğin, Finlandiya ve Lüksemburg'un 3. döngü ara raporlarında, tavsiyelerin tamamen uygulandığını (yeşil), uygulanma sürecinde olduğunu (sarı) ve uygulama tedbirlerinin henüz alınmadığını (kırmızı) belirtmek için bir renk kodu kullanılmıştır. </w:t>
      </w:r>
    </w:p>
    <w:p w14:paraId="51729994" w14:textId="77777777" w:rsidR="00FD5AF3" w:rsidRDefault="00FD5AF3" w:rsidP="00FD5AF3"/>
    <w:p w14:paraId="347AB28F" w14:textId="40D48C39" w:rsidR="00FD5AF3" w:rsidRDefault="00016FE3" w:rsidP="00FD5AF3">
      <w:r>
        <w:t>EPİ</w:t>
      </w:r>
      <w:r w:rsidR="00FD5AF3">
        <w:t xml:space="preserve"> ara dönem raporları gönüllülük esasına dayandığından, Devletler ve diğer paydaşlardan tek tip bir metodoloji ve format kullanmaları istenemez. Ancak raporların yeknesak olması, Devletler ve paydaşlar için bir model raporu takip edebilecekleri için verimlilik yaratacaktır. Tekdüzelik aynı zamanda, özellikle tema bazında ülkeler arasında karşılaştırma yapmak amacıyla alınan girdilerin kapsamlı tablolarda birleştirilmesine de olanak sağlayacaktır. Son olarak, ortak yaklaşımlar, orta vadeli raporların hazırlanması için Devletler arasında uygulamaların paylaşılmasını da kolaylaştıracaktır.  </w:t>
      </w:r>
    </w:p>
    <w:p w14:paraId="6220F216" w14:textId="77777777" w:rsidR="00FD5AF3" w:rsidRDefault="00FD5AF3" w:rsidP="00FD5AF3"/>
    <w:p w14:paraId="317E9630" w14:textId="6533AA12" w:rsidR="00CA5BD4" w:rsidRDefault="00FD5AF3" w:rsidP="00FD5AF3">
      <w:r>
        <w:lastRenderedPageBreak/>
        <w:t xml:space="preserve">Raporlama formatlarında daha fazla yeknesaklığı teşvik etmek amacıyla, aşağıdaki ekte Devletlere ve paydaşlara </w:t>
      </w:r>
      <w:r w:rsidR="00016FE3">
        <w:t>EPİ</w:t>
      </w:r>
      <w:r>
        <w:t xml:space="preserve"> ara dönem raporu için önerilen bir şablon ve her bir bölümün içeriğine ilişkin öneriler sunulmaktadır.</w:t>
      </w:r>
    </w:p>
    <w:p w14:paraId="4C67055B" w14:textId="77777777" w:rsidR="00FD5AF3" w:rsidRDefault="00FD5AF3" w:rsidP="00FD5AF3"/>
    <w:p w14:paraId="61B2E009" w14:textId="253A0BF4" w:rsidR="00016FE3" w:rsidRDefault="00C26484" w:rsidP="00C26484">
      <w:pPr>
        <w:pStyle w:val="Balk1"/>
      </w:pPr>
      <w:r>
        <w:t>EK</w:t>
      </w:r>
      <w:r w:rsidR="00016FE3">
        <w:t xml:space="preserve"> </w:t>
      </w:r>
      <w:proofErr w:type="gramStart"/>
      <w:r w:rsidR="00016FE3">
        <w:t xml:space="preserve">  </w:t>
      </w:r>
      <w:r>
        <w:t>:</w:t>
      </w:r>
      <w:proofErr w:type="gramEnd"/>
      <w:r>
        <w:t xml:space="preserve"> </w:t>
      </w:r>
      <w:r w:rsidR="00016FE3">
        <w:t xml:space="preserve">Ara Dönem EPİ </w:t>
      </w:r>
      <w:r w:rsidR="00F666EE">
        <w:t>Raporlaması-</w:t>
      </w:r>
      <w:r w:rsidR="00016FE3">
        <w:t xml:space="preserve"> Önerilen Şablon</w:t>
      </w:r>
    </w:p>
    <w:p w14:paraId="26499D4D" w14:textId="77777777" w:rsidR="00016FE3" w:rsidRDefault="00016FE3" w:rsidP="00016FE3"/>
    <w:p w14:paraId="1A80FAFE" w14:textId="77777777" w:rsidR="00016FE3" w:rsidRDefault="00016FE3" w:rsidP="00016FE3">
      <w:pPr>
        <w:pStyle w:val="Balk3"/>
      </w:pPr>
      <w:r>
        <w:t>1.</w:t>
      </w:r>
      <w:r>
        <w:tab/>
        <w:t>Metodoloji</w:t>
      </w:r>
    </w:p>
    <w:p w14:paraId="612996CC" w14:textId="77777777" w:rsidR="00016FE3" w:rsidRDefault="00016FE3" w:rsidP="00016FE3"/>
    <w:p w14:paraId="138AF69D" w14:textId="71CDF9F5" w:rsidR="00016FE3" w:rsidRDefault="00016FE3" w:rsidP="00016FE3">
      <w:r>
        <w:t>EPİ Ara Dönem raporu kapsamında sağlanan bilgilerin hazırlanması için izlenen metodoloji ve geniş istişare sürecinin tanımı. Raporun bir Ulusal Uygulama, Raporlama ve Takip Mekanizması kapsamında hazırlanıp hazırlanmadığının açıklığa kavuşturulması ve eğer öyleyse mekanizmanın ve sürecin tanımlanması</w:t>
      </w:r>
    </w:p>
    <w:p w14:paraId="5523AB18" w14:textId="77777777" w:rsidR="00016FE3" w:rsidRDefault="00016FE3" w:rsidP="00016FE3">
      <w:r>
        <w:tab/>
      </w:r>
    </w:p>
    <w:p w14:paraId="54678B30" w14:textId="38AE826E" w:rsidR="00016FE3" w:rsidRDefault="00016FE3" w:rsidP="00016FE3">
      <w:pPr>
        <w:pStyle w:val="Balk3"/>
      </w:pPr>
      <w:r>
        <w:t>2.</w:t>
      </w:r>
      <w:r>
        <w:tab/>
        <w:t>Önemli gelişmelerin ve EPİ uygulamasının yönetici özeti</w:t>
      </w:r>
    </w:p>
    <w:p w14:paraId="2353979E" w14:textId="77777777" w:rsidR="00016FE3" w:rsidRDefault="00016FE3" w:rsidP="00016FE3"/>
    <w:p w14:paraId="58EC4072" w14:textId="0E660FD1" w:rsidR="00016FE3" w:rsidRDefault="00016FE3" w:rsidP="00016FE3">
      <w:r>
        <w:t>İncelemeden bu yana kaydedilen önemli gelişmeleri ve belirli EPİ tavsiyelerinin uygulanmasına ilişkin ana bulguları özetleyen anlatı metni. Tematik alt başlıklara göre bir bölümleme kullanılabilir</w:t>
      </w:r>
    </w:p>
    <w:p w14:paraId="7A712A28" w14:textId="77777777" w:rsidR="00016FE3" w:rsidRDefault="00016FE3" w:rsidP="00016FE3"/>
    <w:p w14:paraId="626B2B14" w14:textId="75F3949C" w:rsidR="00016FE3" w:rsidRDefault="00016FE3" w:rsidP="00016FE3">
      <w:pPr>
        <w:pStyle w:val="Balk3"/>
      </w:pPr>
      <w:r>
        <w:t>3.</w:t>
      </w:r>
      <w:r>
        <w:tab/>
        <w:t>Alınan EPİ tavsiyelerinin takibi</w:t>
      </w:r>
    </w:p>
    <w:p w14:paraId="4460837E" w14:textId="77777777" w:rsidR="00016FE3" w:rsidRDefault="00016FE3" w:rsidP="00016FE3"/>
    <w:tbl>
      <w:tblPr>
        <w:tblStyle w:val="TabloKlavuzu"/>
        <w:tblW w:w="9133" w:type="dxa"/>
        <w:tblInd w:w="360" w:type="dxa"/>
        <w:tblLook w:val="04A0" w:firstRow="1" w:lastRow="0" w:firstColumn="1" w:lastColumn="0" w:noHBand="0" w:noVBand="1"/>
      </w:tblPr>
      <w:tblGrid>
        <w:gridCol w:w="1863"/>
        <w:gridCol w:w="1077"/>
        <w:gridCol w:w="1984"/>
        <w:gridCol w:w="4209"/>
      </w:tblGrid>
      <w:tr w:rsidR="00F666EE" w14:paraId="5FDDA661" w14:textId="77777777" w:rsidTr="00E01F6B">
        <w:tc>
          <w:tcPr>
            <w:tcW w:w="1863" w:type="dxa"/>
          </w:tcPr>
          <w:p w14:paraId="7535E4CA" w14:textId="618C8A82" w:rsidR="00F666EE" w:rsidRDefault="00F666EE" w:rsidP="00E01F6B">
            <w:pPr>
              <w:pStyle w:val="ListeParagraf"/>
              <w:ind w:left="0"/>
              <w:jc w:val="center"/>
              <w:rPr>
                <w:b/>
              </w:rPr>
            </w:pPr>
            <w:r>
              <w:t xml:space="preserve">EPİ </w:t>
            </w:r>
            <w:proofErr w:type="spellStart"/>
            <w:r>
              <w:t>tavsiyesi</w:t>
            </w:r>
            <w:proofErr w:type="spellEnd"/>
            <w:r>
              <w:rPr>
                <w:b/>
              </w:rPr>
              <w:t>*</w:t>
            </w:r>
          </w:p>
        </w:tc>
        <w:tc>
          <w:tcPr>
            <w:tcW w:w="1077" w:type="dxa"/>
          </w:tcPr>
          <w:p w14:paraId="2F970834" w14:textId="71A3D3EC" w:rsidR="00F666EE" w:rsidRDefault="00F666EE" w:rsidP="00E01F6B">
            <w:pPr>
              <w:pStyle w:val="ListeParagraf"/>
              <w:ind w:left="0"/>
              <w:jc w:val="center"/>
              <w:rPr>
                <w:b/>
              </w:rPr>
            </w:pPr>
            <w:proofErr w:type="spellStart"/>
            <w:r>
              <w:t>Pozisyon</w:t>
            </w:r>
            <w:proofErr w:type="spellEnd"/>
            <w:r>
              <w:rPr>
                <w:b/>
              </w:rPr>
              <w:t xml:space="preserve"> **</w:t>
            </w:r>
          </w:p>
        </w:tc>
        <w:tc>
          <w:tcPr>
            <w:tcW w:w="1984" w:type="dxa"/>
          </w:tcPr>
          <w:p w14:paraId="50227F3E" w14:textId="67F0D033" w:rsidR="00F666EE" w:rsidRDefault="00F666EE" w:rsidP="00E01F6B">
            <w:pPr>
              <w:pStyle w:val="ListeParagraf"/>
              <w:ind w:left="0"/>
              <w:jc w:val="center"/>
              <w:rPr>
                <w:b/>
              </w:rPr>
            </w:pPr>
            <w:proofErr w:type="spellStart"/>
            <w:r>
              <w:t>Uygulama</w:t>
            </w:r>
            <w:proofErr w:type="spellEnd"/>
            <w:r>
              <w:t xml:space="preserve"> </w:t>
            </w:r>
            <w:proofErr w:type="spellStart"/>
            <w:r>
              <w:t>durumu</w:t>
            </w:r>
            <w:proofErr w:type="spellEnd"/>
            <w:r>
              <w:rPr>
                <w:b/>
              </w:rPr>
              <w:t xml:space="preserve"> *** </w:t>
            </w:r>
          </w:p>
        </w:tc>
        <w:tc>
          <w:tcPr>
            <w:tcW w:w="4209" w:type="dxa"/>
          </w:tcPr>
          <w:p w14:paraId="56784AE2" w14:textId="79AF7CF6" w:rsidR="00F666EE" w:rsidRDefault="00F666EE" w:rsidP="00E01F6B">
            <w:pPr>
              <w:pStyle w:val="ListeParagraf"/>
              <w:ind w:left="0"/>
              <w:jc w:val="center"/>
              <w:rPr>
                <w:b/>
              </w:rPr>
            </w:pPr>
            <w:proofErr w:type="spellStart"/>
            <w:r>
              <w:t>Yürütülen</w:t>
            </w:r>
            <w:proofErr w:type="spellEnd"/>
            <w:r>
              <w:t xml:space="preserve"> </w:t>
            </w:r>
            <w:proofErr w:type="spellStart"/>
            <w:r>
              <w:t>faaliyetlerin</w:t>
            </w:r>
            <w:proofErr w:type="spellEnd"/>
            <w:r>
              <w:t xml:space="preserve"> </w:t>
            </w:r>
            <w:proofErr w:type="spellStart"/>
            <w:r>
              <w:t>tanımı</w:t>
            </w:r>
            <w:proofErr w:type="spellEnd"/>
            <w:r>
              <w:t xml:space="preserve">, </w:t>
            </w:r>
            <w:proofErr w:type="spellStart"/>
            <w:r>
              <w:t>sonuçlar</w:t>
            </w:r>
            <w:proofErr w:type="spellEnd"/>
            <w:r>
              <w:t xml:space="preserve">, </w:t>
            </w:r>
            <w:proofErr w:type="spellStart"/>
            <w:r>
              <w:t>zorluklar</w:t>
            </w:r>
            <w:proofErr w:type="spellEnd"/>
            <w:r>
              <w:rPr>
                <w:b/>
              </w:rPr>
              <w:t xml:space="preserve"> **** </w:t>
            </w:r>
          </w:p>
        </w:tc>
      </w:tr>
      <w:tr w:rsidR="00F666EE" w14:paraId="1FADD797" w14:textId="77777777" w:rsidTr="00E01F6B">
        <w:tc>
          <w:tcPr>
            <w:tcW w:w="1863" w:type="dxa"/>
          </w:tcPr>
          <w:p w14:paraId="5544AEC1" w14:textId="77777777" w:rsidR="00F666EE" w:rsidRDefault="00F666EE" w:rsidP="00E01F6B">
            <w:pPr>
              <w:pStyle w:val="ListeParagraf"/>
              <w:ind w:left="0"/>
              <w:jc w:val="both"/>
              <w:rPr>
                <w:b/>
              </w:rPr>
            </w:pPr>
          </w:p>
        </w:tc>
        <w:tc>
          <w:tcPr>
            <w:tcW w:w="1077" w:type="dxa"/>
          </w:tcPr>
          <w:p w14:paraId="46F101F2" w14:textId="77777777" w:rsidR="00F666EE" w:rsidRDefault="00F666EE" w:rsidP="00E01F6B">
            <w:pPr>
              <w:pStyle w:val="ListeParagraf"/>
              <w:ind w:left="0"/>
              <w:jc w:val="both"/>
              <w:rPr>
                <w:b/>
              </w:rPr>
            </w:pPr>
          </w:p>
        </w:tc>
        <w:tc>
          <w:tcPr>
            <w:tcW w:w="1984" w:type="dxa"/>
          </w:tcPr>
          <w:p w14:paraId="26E486F8" w14:textId="77777777" w:rsidR="00F666EE" w:rsidRDefault="00F666EE" w:rsidP="00E01F6B">
            <w:pPr>
              <w:pStyle w:val="ListeParagraf"/>
              <w:ind w:left="0"/>
              <w:jc w:val="both"/>
              <w:rPr>
                <w:b/>
              </w:rPr>
            </w:pPr>
          </w:p>
        </w:tc>
        <w:tc>
          <w:tcPr>
            <w:tcW w:w="4209" w:type="dxa"/>
          </w:tcPr>
          <w:p w14:paraId="281A9AB5" w14:textId="77777777" w:rsidR="00F666EE" w:rsidRDefault="00F666EE" w:rsidP="00E01F6B">
            <w:pPr>
              <w:pStyle w:val="ListeParagraf"/>
              <w:ind w:left="0"/>
              <w:jc w:val="both"/>
              <w:rPr>
                <w:b/>
              </w:rPr>
            </w:pPr>
          </w:p>
        </w:tc>
      </w:tr>
    </w:tbl>
    <w:p w14:paraId="6BDF6BC2" w14:textId="77777777" w:rsidR="00F666EE" w:rsidRDefault="00F666EE" w:rsidP="00016FE3"/>
    <w:p w14:paraId="4BC919D4" w14:textId="09524C14" w:rsidR="00016FE3" w:rsidRDefault="00016FE3" w:rsidP="00016FE3">
      <w:r>
        <w:t>* EPİ tavsiyelerinin ya artan sırada ya da temaya / konuya göre gruplandırılarak</w:t>
      </w:r>
      <w:r w:rsidR="008015DA">
        <w:t xml:space="preserve"> </w:t>
      </w:r>
      <w:r>
        <w:t>listelenmesi önerilir</w:t>
      </w:r>
      <w:r w:rsidR="008015DA">
        <w:t>.</w:t>
      </w:r>
    </w:p>
    <w:p w14:paraId="392DCA5C" w14:textId="2B7B2253" w:rsidR="00016FE3" w:rsidRDefault="00016FE3" w:rsidP="00016FE3">
      <w:r>
        <w:t xml:space="preserve">** Desteklendi veya </w:t>
      </w:r>
      <w:r w:rsidR="008015DA">
        <w:t>Kayıt Altına Alındı.</w:t>
      </w:r>
    </w:p>
    <w:p w14:paraId="5BD3302A" w14:textId="77777777" w:rsidR="00F666EE" w:rsidRDefault="00016FE3" w:rsidP="00016FE3">
      <w:r>
        <w:t xml:space="preserve">*** Aşağıdaki kategoriler önerilmektedir: </w:t>
      </w:r>
    </w:p>
    <w:p w14:paraId="521A691B" w14:textId="77777777" w:rsidR="00F666EE" w:rsidRDefault="00016FE3" w:rsidP="00F666EE">
      <w:pPr>
        <w:ind w:firstLine="720"/>
      </w:pPr>
      <w:r>
        <w:t xml:space="preserve">(a) uygulandı, </w:t>
      </w:r>
    </w:p>
    <w:p w14:paraId="422EB575" w14:textId="77777777" w:rsidR="00F666EE" w:rsidRDefault="00016FE3" w:rsidP="00F666EE">
      <w:pPr>
        <w:ind w:firstLine="720"/>
      </w:pPr>
      <w:r>
        <w:t xml:space="preserve">(b) kısmen uygulandı, </w:t>
      </w:r>
    </w:p>
    <w:p w14:paraId="72E610B1" w14:textId="77777777" w:rsidR="00F666EE" w:rsidRDefault="00016FE3" w:rsidP="00F666EE">
      <w:pPr>
        <w:ind w:firstLine="720"/>
      </w:pPr>
      <w:r>
        <w:t xml:space="preserve">(c) uygulanma sürecinde, </w:t>
      </w:r>
    </w:p>
    <w:p w14:paraId="56A466AE" w14:textId="77777777" w:rsidR="00F666EE" w:rsidRDefault="00016FE3" w:rsidP="00F666EE">
      <w:pPr>
        <w:ind w:firstLine="720"/>
      </w:pPr>
      <w:r>
        <w:t xml:space="preserve">(d) uygulanmadı. </w:t>
      </w:r>
    </w:p>
    <w:p w14:paraId="519B668B" w14:textId="3F21FAA3" w:rsidR="00016FE3" w:rsidRDefault="00016FE3" w:rsidP="00F666EE">
      <w:r>
        <w:t xml:space="preserve">Bu kategorilerin renklerle kodlanması okuyucuya yardımcı olabilir (örneğin </w:t>
      </w:r>
      <w:proofErr w:type="gramStart"/>
      <w:r>
        <w:t>yeşil -</w:t>
      </w:r>
      <w:proofErr w:type="gramEnd"/>
      <w:r>
        <w:t xml:space="preserve"> tamamen uygulandı; turuncu - kısmen uygulandı; sarı - uygulanma sürecinde; kırmızı - uygulanmadı.</w:t>
      </w:r>
      <w:r w:rsidR="00F666EE">
        <w:t>)</w:t>
      </w:r>
    </w:p>
    <w:p w14:paraId="6107580C" w14:textId="0DED1D8E" w:rsidR="00016FE3" w:rsidRDefault="00016FE3" w:rsidP="00016FE3">
      <w:r>
        <w:t>**** Bu, diğerlerinin yanı sıra, uygulayıcı kurum ve ortak paydaşların ve uygulamaya yardımcı olmak için kullanılan araçların / kaynakların (</w:t>
      </w:r>
      <w:proofErr w:type="gramStart"/>
      <w:r w:rsidR="00F666EE">
        <w:t xml:space="preserve">BMİHYK </w:t>
      </w:r>
      <w:r>
        <w:t xml:space="preserve"> aracılığıyla</w:t>
      </w:r>
      <w:proofErr w:type="gramEnd"/>
      <w:r>
        <w:t xml:space="preserve"> sunulanlar dahil) tanımlanmasını da içerebilir.</w:t>
      </w:r>
    </w:p>
    <w:p w14:paraId="08078384" w14:textId="77777777" w:rsidR="00016FE3" w:rsidRDefault="00016FE3" w:rsidP="00016FE3">
      <w:pPr>
        <w:pStyle w:val="Balk3"/>
      </w:pPr>
      <w:r>
        <w:t>4.</w:t>
      </w:r>
      <w:r>
        <w:tab/>
        <w:t>Kapasite geliştirme ve teknik yardım ihtiyaçları</w:t>
      </w:r>
    </w:p>
    <w:p w14:paraId="5E477D73" w14:textId="7CF1B593" w:rsidR="00016FE3" w:rsidRDefault="00016FE3" w:rsidP="00016FE3">
      <w:r>
        <w:t>[Bir sonraki periyodik gözden geçirmeye kadar kalan 2,5 yıl içinde EPİ tavsiyelerinin uygulanması için varsa teknik yardım ve destek ihtiyaçlarının belirlenmesi]</w:t>
      </w:r>
    </w:p>
    <w:p w14:paraId="77A49E28" w14:textId="77777777" w:rsidR="00016FE3" w:rsidRDefault="00016FE3" w:rsidP="00016FE3"/>
    <w:p w14:paraId="2A5130A4" w14:textId="4962CE6A" w:rsidR="00FD5AF3" w:rsidRDefault="00FD5AF3" w:rsidP="00016FE3"/>
    <w:sectPr w:rsidR="00FD5AF3" w:rsidSect="00A84F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F74E" w14:textId="77777777" w:rsidR="00E77111" w:rsidRDefault="00E77111" w:rsidP="00F666EE">
      <w:r>
        <w:separator/>
      </w:r>
    </w:p>
  </w:endnote>
  <w:endnote w:type="continuationSeparator" w:id="0">
    <w:p w14:paraId="5D21CB70" w14:textId="77777777" w:rsidR="00E77111" w:rsidRDefault="00E77111" w:rsidP="00F6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939806"/>
      <w:docPartObj>
        <w:docPartGallery w:val="Page Numbers (Bottom of Page)"/>
        <w:docPartUnique/>
      </w:docPartObj>
    </w:sdtPr>
    <w:sdtContent>
      <w:p w14:paraId="6F3FFE8F" w14:textId="2C0095AD" w:rsidR="00896F27" w:rsidRDefault="00896F27">
        <w:pPr>
          <w:pStyle w:val="AltBilgi"/>
          <w:jc w:val="right"/>
        </w:pPr>
        <w:r>
          <w:fldChar w:fldCharType="begin"/>
        </w:r>
        <w:r>
          <w:instrText>PAGE   \* MERGEFORMAT</w:instrText>
        </w:r>
        <w:r>
          <w:fldChar w:fldCharType="separate"/>
        </w:r>
        <w:r>
          <w:t>2</w:t>
        </w:r>
        <w:r>
          <w:fldChar w:fldCharType="end"/>
        </w:r>
      </w:p>
    </w:sdtContent>
  </w:sdt>
  <w:p w14:paraId="6545A6A5" w14:textId="77777777" w:rsidR="00896F27" w:rsidRDefault="00896F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E37D" w14:textId="77777777" w:rsidR="00E77111" w:rsidRDefault="00E77111" w:rsidP="00F666EE">
      <w:r>
        <w:separator/>
      </w:r>
    </w:p>
  </w:footnote>
  <w:footnote w:type="continuationSeparator" w:id="0">
    <w:p w14:paraId="151B1D18" w14:textId="77777777" w:rsidR="00E77111" w:rsidRDefault="00E77111" w:rsidP="00F666EE">
      <w:r>
        <w:continuationSeparator/>
      </w:r>
    </w:p>
  </w:footnote>
  <w:footnote w:id="1">
    <w:p w14:paraId="0C8E25EF" w14:textId="1685DCE3" w:rsidR="00C26484" w:rsidRPr="00C26484" w:rsidRDefault="00C26484" w:rsidP="00C26484">
      <w:pPr>
        <w:pStyle w:val="stBilgi"/>
        <w:pBdr>
          <w:bottom w:val="none" w:sz="0" w:space="0" w:color="auto"/>
        </w:pBdr>
        <w:rPr>
          <w:b w:val="0"/>
          <w:bCs/>
          <w:lang w:val="tr-TR"/>
        </w:rPr>
      </w:pPr>
      <w:r w:rsidRPr="00C26484">
        <w:rPr>
          <w:rStyle w:val="DipnotBavurusu"/>
          <w:b w:val="0"/>
          <w:bCs/>
        </w:rPr>
        <w:footnoteRef/>
      </w:r>
      <w:r w:rsidRPr="00C26484">
        <w:rPr>
          <w:b w:val="0"/>
          <w:bCs/>
        </w:rPr>
        <w:t xml:space="preserve"> BM İnsan Hakları </w:t>
      </w:r>
      <w:r w:rsidRPr="00C26484">
        <w:rPr>
          <w:b w:val="0"/>
          <w:bCs/>
          <w:lang w:val="tr-TR"/>
        </w:rPr>
        <w:t xml:space="preserve">Yüksek Komiserliği tarafından hazırlanmış, KAGED tarafından Türkçeleştirilmiştir. (OHCHR, UPRB, </w:t>
      </w:r>
      <w:proofErr w:type="spellStart"/>
      <w:r w:rsidRPr="00C26484">
        <w:rPr>
          <w:b w:val="0"/>
          <w:bCs/>
          <w:lang w:val="tr-TR"/>
        </w:rPr>
        <w:t>October</w:t>
      </w:r>
      <w:proofErr w:type="spellEnd"/>
      <w:r w:rsidRPr="00C26484">
        <w:rPr>
          <w:b w:val="0"/>
          <w:bCs/>
          <w:lang w:val="tr-TR"/>
        </w:rPr>
        <w:t xml:space="preserve"> 2022)</w:t>
      </w:r>
    </w:p>
  </w:footnote>
  <w:footnote w:id="2">
    <w:p w14:paraId="31C6737A" w14:textId="28779DE0" w:rsidR="00F666EE" w:rsidRDefault="00F666EE">
      <w:pPr>
        <w:pStyle w:val="DipnotMetni"/>
      </w:pPr>
      <w:r>
        <w:rPr>
          <w:rStyle w:val="DipnotBavurusu"/>
        </w:rPr>
        <w:footnoteRef/>
      </w:r>
      <w:r>
        <w:t xml:space="preserve"> Türkiye’ye gönderilen mektubun Türkçesine buradan erişebilirsiniz. </w:t>
      </w:r>
      <w:r w:rsidR="00C26484">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F3"/>
    <w:rsid w:val="00016FE3"/>
    <w:rsid w:val="0026353F"/>
    <w:rsid w:val="002D3052"/>
    <w:rsid w:val="005F5EDD"/>
    <w:rsid w:val="007F5498"/>
    <w:rsid w:val="008015DA"/>
    <w:rsid w:val="00896F27"/>
    <w:rsid w:val="00A84FD4"/>
    <w:rsid w:val="00AD068C"/>
    <w:rsid w:val="00C26484"/>
    <w:rsid w:val="00CA5BD4"/>
    <w:rsid w:val="00E77111"/>
    <w:rsid w:val="00F666EE"/>
    <w:rsid w:val="00FD5AF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F71B"/>
  <w15:chartTrackingRefBased/>
  <w15:docId w15:val="{C542540D-2CD2-4D24-B2B2-89502162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E3"/>
    <w:rPr>
      <w:sz w:val="24"/>
      <w:szCs w:val="24"/>
    </w:rPr>
  </w:style>
  <w:style w:type="paragraph" w:styleId="Balk1">
    <w:name w:val="heading 1"/>
    <w:basedOn w:val="Normal"/>
    <w:next w:val="Normal"/>
    <w:link w:val="Balk1Char"/>
    <w:uiPriority w:val="9"/>
    <w:qFormat/>
    <w:rsid w:val="00C26484"/>
    <w:pPr>
      <w:keepNext/>
      <w:spacing w:before="240" w:after="60"/>
      <w:outlineLvl w:val="0"/>
    </w:pPr>
    <w:rPr>
      <w:rFonts w:asciiTheme="majorHAnsi" w:eastAsiaTheme="majorEastAsia" w:hAnsiTheme="majorHAnsi"/>
      <w:bCs/>
      <w:kern w:val="32"/>
      <w:sz w:val="32"/>
      <w:szCs w:val="32"/>
    </w:rPr>
  </w:style>
  <w:style w:type="paragraph" w:styleId="Balk2">
    <w:name w:val="heading 2"/>
    <w:basedOn w:val="Normal"/>
    <w:next w:val="Normal"/>
    <w:link w:val="Balk2Char"/>
    <w:uiPriority w:val="9"/>
    <w:unhideWhenUsed/>
    <w:qFormat/>
    <w:rsid w:val="00C26484"/>
    <w:pPr>
      <w:keepNext/>
      <w:spacing w:before="240" w:after="60"/>
      <w:outlineLvl w:val="1"/>
    </w:pPr>
    <w:rPr>
      <w:rFonts w:asciiTheme="majorHAnsi" w:eastAsiaTheme="majorEastAsia" w:hAnsiTheme="majorHAnsi"/>
      <w:bCs/>
      <w:iCs/>
      <w:sz w:val="28"/>
      <w:szCs w:val="28"/>
    </w:rPr>
  </w:style>
  <w:style w:type="paragraph" w:styleId="Balk3">
    <w:name w:val="heading 3"/>
    <w:basedOn w:val="Normal"/>
    <w:next w:val="Normal"/>
    <w:link w:val="Balk3Char"/>
    <w:uiPriority w:val="9"/>
    <w:unhideWhenUsed/>
    <w:qFormat/>
    <w:rsid w:val="00016FE3"/>
    <w:pPr>
      <w:keepNext/>
      <w:spacing w:before="240" w:after="60"/>
      <w:outlineLvl w:val="2"/>
    </w:pPr>
    <w:rPr>
      <w:rFonts w:asciiTheme="majorHAnsi" w:eastAsiaTheme="majorEastAsia" w:hAnsiTheme="majorHAnsi"/>
      <w:b/>
      <w:bCs/>
      <w:sz w:val="26"/>
      <w:szCs w:val="26"/>
    </w:rPr>
  </w:style>
  <w:style w:type="paragraph" w:styleId="Balk4">
    <w:name w:val="heading 4"/>
    <w:basedOn w:val="Normal"/>
    <w:next w:val="Normal"/>
    <w:link w:val="Balk4Char"/>
    <w:uiPriority w:val="9"/>
    <w:semiHidden/>
    <w:unhideWhenUsed/>
    <w:qFormat/>
    <w:rsid w:val="00016FE3"/>
    <w:pPr>
      <w:keepNext/>
      <w:spacing w:before="240" w:after="60"/>
      <w:outlineLvl w:val="3"/>
    </w:pPr>
    <w:rPr>
      <w:b/>
      <w:bCs/>
      <w:sz w:val="28"/>
      <w:szCs w:val="28"/>
    </w:rPr>
  </w:style>
  <w:style w:type="paragraph" w:styleId="Balk5">
    <w:name w:val="heading 5"/>
    <w:basedOn w:val="Normal"/>
    <w:next w:val="Normal"/>
    <w:link w:val="Balk5Char"/>
    <w:uiPriority w:val="9"/>
    <w:semiHidden/>
    <w:unhideWhenUsed/>
    <w:qFormat/>
    <w:rsid w:val="00016FE3"/>
    <w:pPr>
      <w:spacing w:before="240" w:after="60"/>
      <w:outlineLvl w:val="4"/>
    </w:pPr>
    <w:rPr>
      <w:b/>
      <w:bCs/>
      <w:i/>
      <w:iCs/>
      <w:sz w:val="26"/>
      <w:szCs w:val="26"/>
    </w:rPr>
  </w:style>
  <w:style w:type="paragraph" w:styleId="Balk6">
    <w:name w:val="heading 6"/>
    <w:basedOn w:val="Normal"/>
    <w:next w:val="Normal"/>
    <w:link w:val="Balk6Char"/>
    <w:uiPriority w:val="9"/>
    <w:semiHidden/>
    <w:unhideWhenUsed/>
    <w:qFormat/>
    <w:rsid w:val="00016FE3"/>
    <w:p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016FE3"/>
    <w:pPr>
      <w:spacing w:before="240" w:after="60"/>
      <w:outlineLvl w:val="6"/>
    </w:pPr>
  </w:style>
  <w:style w:type="paragraph" w:styleId="Balk8">
    <w:name w:val="heading 8"/>
    <w:basedOn w:val="Normal"/>
    <w:next w:val="Normal"/>
    <w:link w:val="Balk8Char"/>
    <w:uiPriority w:val="9"/>
    <w:semiHidden/>
    <w:unhideWhenUsed/>
    <w:qFormat/>
    <w:rsid w:val="00016FE3"/>
    <w:pPr>
      <w:spacing w:before="240" w:after="60"/>
      <w:outlineLvl w:val="7"/>
    </w:pPr>
    <w:rPr>
      <w:i/>
      <w:iCs/>
    </w:rPr>
  </w:style>
  <w:style w:type="paragraph" w:styleId="Balk9">
    <w:name w:val="heading 9"/>
    <w:basedOn w:val="Normal"/>
    <w:next w:val="Normal"/>
    <w:link w:val="Balk9Char"/>
    <w:uiPriority w:val="9"/>
    <w:semiHidden/>
    <w:unhideWhenUsed/>
    <w:qFormat/>
    <w:rsid w:val="00016FE3"/>
    <w:pPr>
      <w:spacing w:before="240" w:after="60"/>
      <w:outlineLvl w:val="8"/>
    </w:pPr>
    <w:rPr>
      <w:rFonts w:asciiTheme="majorHAnsi" w:eastAsiaTheme="majorEastAsia" w:hAnsiTheme="maj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6484"/>
    <w:rPr>
      <w:rFonts w:asciiTheme="majorHAnsi" w:eastAsiaTheme="majorEastAsia" w:hAnsiTheme="majorHAnsi"/>
      <w:bCs/>
      <w:kern w:val="32"/>
      <w:sz w:val="32"/>
      <w:szCs w:val="32"/>
    </w:rPr>
  </w:style>
  <w:style w:type="character" w:customStyle="1" w:styleId="Balk2Char">
    <w:name w:val="Başlık 2 Char"/>
    <w:basedOn w:val="VarsaylanParagrafYazTipi"/>
    <w:link w:val="Balk2"/>
    <w:uiPriority w:val="9"/>
    <w:rsid w:val="00C26484"/>
    <w:rPr>
      <w:rFonts w:asciiTheme="majorHAnsi" w:eastAsiaTheme="majorEastAsia" w:hAnsiTheme="majorHAnsi"/>
      <w:bCs/>
      <w:iCs/>
      <w:sz w:val="28"/>
      <w:szCs w:val="28"/>
    </w:rPr>
  </w:style>
  <w:style w:type="character" w:customStyle="1" w:styleId="Balk3Char">
    <w:name w:val="Başlık 3 Char"/>
    <w:basedOn w:val="VarsaylanParagrafYazTipi"/>
    <w:link w:val="Balk3"/>
    <w:uiPriority w:val="9"/>
    <w:rsid w:val="00016FE3"/>
    <w:rPr>
      <w:rFonts w:asciiTheme="majorHAnsi" w:eastAsiaTheme="majorEastAsia" w:hAnsiTheme="majorHAnsi"/>
      <w:b/>
      <w:bCs/>
      <w:sz w:val="26"/>
      <w:szCs w:val="26"/>
    </w:rPr>
  </w:style>
  <w:style w:type="character" w:customStyle="1" w:styleId="Balk4Char">
    <w:name w:val="Başlık 4 Char"/>
    <w:basedOn w:val="VarsaylanParagrafYazTipi"/>
    <w:link w:val="Balk4"/>
    <w:uiPriority w:val="9"/>
    <w:semiHidden/>
    <w:rsid w:val="00016FE3"/>
    <w:rPr>
      <w:b/>
      <w:bCs/>
      <w:sz w:val="28"/>
      <w:szCs w:val="28"/>
    </w:rPr>
  </w:style>
  <w:style w:type="character" w:customStyle="1" w:styleId="Balk5Char">
    <w:name w:val="Başlık 5 Char"/>
    <w:basedOn w:val="VarsaylanParagrafYazTipi"/>
    <w:link w:val="Balk5"/>
    <w:uiPriority w:val="9"/>
    <w:semiHidden/>
    <w:rsid w:val="00016FE3"/>
    <w:rPr>
      <w:b/>
      <w:bCs/>
      <w:i/>
      <w:iCs/>
      <w:sz w:val="26"/>
      <w:szCs w:val="26"/>
    </w:rPr>
  </w:style>
  <w:style w:type="character" w:customStyle="1" w:styleId="Balk6Char">
    <w:name w:val="Başlık 6 Char"/>
    <w:basedOn w:val="VarsaylanParagrafYazTipi"/>
    <w:link w:val="Balk6"/>
    <w:uiPriority w:val="9"/>
    <w:semiHidden/>
    <w:rsid w:val="00016FE3"/>
    <w:rPr>
      <w:b/>
      <w:bCs/>
    </w:rPr>
  </w:style>
  <w:style w:type="character" w:customStyle="1" w:styleId="Balk7Char">
    <w:name w:val="Başlık 7 Char"/>
    <w:basedOn w:val="VarsaylanParagrafYazTipi"/>
    <w:link w:val="Balk7"/>
    <w:uiPriority w:val="9"/>
    <w:semiHidden/>
    <w:rsid w:val="00016FE3"/>
    <w:rPr>
      <w:sz w:val="24"/>
      <w:szCs w:val="24"/>
    </w:rPr>
  </w:style>
  <w:style w:type="character" w:customStyle="1" w:styleId="Balk8Char">
    <w:name w:val="Başlık 8 Char"/>
    <w:basedOn w:val="VarsaylanParagrafYazTipi"/>
    <w:link w:val="Balk8"/>
    <w:uiPriority w:val="9"/>
    <w:semiHidden/>
    <w:rsid w:val="00016FE3"/>
    <w:rPr>
      <w:i/>
      <w:iCs/>
      <w:sz w:val="24"/>
      <w:szCs w:val="24"/>
    </w:rPr>
  </w:style>
  <w:style w:type="character" w:customStyle="1" w:styleId="Balk9Char">
    <w:name w:val="Başlık 9 Char"/>
    <w:basedOn w:val="VarsaylanParagrafYazTipi"/>
    <w:link w:val="Balk9"/>
    <w:uiPriority w:val="9"/>
    <w:semiHidden/>
    <w:rsid w:val="00016FE3"/>
    <w:rPr>
      <w:rFonts w:asciiTheme="majorHAnsi" w:eastAsiaTheme="majorEastAsia" w:hAnsiTheme="majorHAnsi"/>
    </w:rPr>
  </w:style>
  <w:style w:type="paragraph" w:styleId="KonuBal">
    <w:name w:val="Title"/>
    <w:basedOn w:val="Normal"/>
    <w:next w:val="Normal"/>
    <w:link w:val="KonuBalChar"/>
    <w:uiPriority w:val="10"/>
    <w:qFormat/>
    <w:rsid w:val="00016FE3"/>
    <w:pPr>
      <w:spacing w:before="240" w:after="60"/>
      <w:jc w:val="center"/>
      <w:outlineLvl w:val="0"/>
    </w:pPr>
    <w:rPr>
      <w:rFonts w:asciiTheme="majorHAnsi" w:eastAsiaTheme="majorEastAsia" w:hAnsiTheme="majorHAnsi"/>
      <w:b/>
      <w:bCs/>
      <w:kern w:val="28"/>
      <w:sz w:val="32"/>
      <w:szCs w:val="32"/>
    </w:rPr>
  </w:style>
  <w:style w:type="character" w:customStyle="1" w:styleId="KonuBalChar">
    <w:name w:val="Konu Başlığı Char"/>
    <w:basedOn w:val="VarsaylanParagrafYazTipi"/>
    <w:link w:val="KonuBal"/>
    <w:uiPriority w:val="10"/>
    <w:rsid w:val="00016FE3"/>
    <w:rPr>
      <w:rFonts w:asciiTheme="majorHAnsi" w:eastAsiaTheme="majorEastAsia" w:hAnsiTheme="majorHAnsi"/>
      <w:b/>
      <w:bCs/>
      <w:kern w:val="28"/>
      <w:sz w:val="32"/>
      <w:szCs w:val="32"/>
    </w:rPr>
  </w:style>
  <w:style w:type="paragraph" w:styleId="Altyaz">
    <w:name w:val="Subtitle"/>
    <w:basedOn w:val="Normal"/>
    <w:next w:val="Normal"/>
    <w:link w:val="AltyazChar"/>
    <w:uiPriority w:val="11"/>
    <w:qFormat/>
    <w:rsid w:val="00016FE3"/>
    <w:pPr>
      <w:spacing w:after="60"/>
      <w:jc w:val="center"/>
      <w:outlineLvl w:val="1"/>
    </w:pPr>
    <w:rPr>
      <w:rFonts w:asciiTheme="majorHAnsi" w:eastAsiaTheme="majorEastAsia" w:hAnsiTheme="majorHAnsi"/>
    </w:rPr>
  </w:style>
  <w:style w:type="character" w:customStyle="1" w:styleId="AltyazChar">
    <w:name w:val="Altyazı Char"/>
    <w:basedOn w:val="VarsaylanParagrafYazTipi"/>
    <w:link w:val="Altyaz"/>
    <w:uiPriority w:val="11"/>
    <w:rsid w:val="00016FE3"/>
    <w:rPr>
      <w:rFonts w:asciiTheme="majorHAnsi" w:eastAsiaTheme="majorEastAsia" w:hAnsiTheme="majorHAnsi"/>
      <w:sz w:val="24"/>
      <w:szCs w:val="24"/>
    </w:rPr>
  </w:style>
  <w:style w:type="character" w:styleId="Gl">
    <w:name w:val="Strong"/>
    <w:basedOn w:val="VarsaylanParagrafYazTipi"/>
    <w:uiPriority w:val="22"/>
    <w:qFormat/>
    <w:rsid w:val="00016FE3"/>
    <w:rPr>
      <w:b/>
      <w:bCs/>
    </w:rPr>
  </w:style>
  <w:style w:type="character" w:styleId="Vurgu">
    <w:name w:val="Emphasis"/>
    <w:basedOn w:val="VarsaylanParagrafYazTipi"/>
    <w:uiPriority w:val="20"/>
    <w:qFormat/>
    <w:rsid w:val="00016FE3"/>
    <w:rPr>
      <w:rFonts w:asciiTheme="minorHAnsi" w:hAnsiTheme="minorHAnsi"/>
      <w:b/>
      <w:i/>
      <w:iCs/>
    </w:rPr>
  </w:style>
  <w:style w:type="paragraph" w:styleId="AralkYok">
    <w:name w:val="No Spacing"/>
    <w:basedOn w:val="Normal"/>
    <w:uiPriority w:val="1"/>
    <w:qFormat/>
    <w:rsid w:val="00016FE3"/>
    <w:rPr>
      <w:szCs w:val="32"/>
    </w:rPr>
  </w:style>
  <w:style w:type="paragraph" w:styleId="ListeParagraf">
    <w:name w:val="List Paragraph"/>
    <w:basedOn w:val="Normal"/>
    <w:uiPriority w:val="34"/>
    <w:qFormat/>
    <w:rsid w:val="00016FE3"/>
    <w:pPr>
      <w:ind w:left="720"/>
      <w:contextualSpacing/>
    </w:pPr>
  </w:style>
  <w:style w:type="paragraph" w:styleId="Alnt">
    <w:name w:val="Quote"/>
    <w:basedOn w:val="Normal"/>
    <w:next w:val="Normal"/>
    <w:link w:val="AlntChar"/>
    <w:uiPriority w:val="29"/>
    <w:qFormat/>
    <w:rsid w:val="00016FE3"/>
    <w:rPr>
      <w:i/>
    </w:rPr>
  </w:style>
  <w:style w:type="character" w:customStyle="1" w:styleId="AlntChar">
    <w:name w:val="Alıntı Char"/>
    <w:basedOn w:val="VarsaylanParagrafYazTipi"/>
    <w:link w:val="Alnt"/>
    <w:uiPriority w:val="29"/>
    <w:rsid w:val="00016FE3"/>
    <w:rPr>
      <w:i/>
      <w:sz w:val="24"/>
      <w:szCs w:val="24"/>
    </w:rPr>
  </w:style>
  <w:style w:type="paragraph" w:styleId="GlAlnt">
    <w:name w:val="Intense Quote"/>
    <w:basedOn w:val="Normal"/>
    <w:next w:val="Normal"/>
    <w:link w:val="GlAlntChar"/>
    <w:uiPriority w:val="30"/>
    <w:qFormat/>
    <w:rsid w:val="00016FE3"/>
    <w:pPr>
      <w:ind w:left="720" w:right="720"/>
    </w:pPr>
    <w:rPr>
      <w:b/>
      <w:i/>
      <w:szCs w:val="22"/>
    </w:rPr>
  </w:style>
  <w:style w:type="character" w:customStyle="1" w:styleId="GlAlntChar">
    <w:name w:val="Güçlü Alıntı Char"/>
    <w:basedOn w:val="VarsaylanParagrafYazTipi"/>
    <w:link w:val="GlAlnt"/>
    <w:uiPriority w:val="30"/>
    <w:rsid w:val="00016FE3"/>
    <w:rPr>
      <w:b/>
      <w:i/>
      <w:sz w:val="24"/>
    </w:rPr>
  </w:style>
  <w:style w:type="character" w:styleId="HafifVurgulama">
    <w:name w:val="Subtle Emphasis"/>
    <w:uiPriority w:val="19"/>
    <w:qFormat/>
    <w:rsid w:val="00016FE3"/>
    <w:rPr>
      <w:i/>
      <w:color w:val="5A5A5A" w:themeColor="text1" w:themeTint="A5"/>
    </w:rPr>
  </w:style>
  <w:style w:type="character" w:styleId="GlVurgulama">
    <w:name w:val="Intense Emphasis"/>
    <w:basedOn w:val="VarsaylanParagrafYazTipi"/>
    <w:uiPriority w:val="21"/>
    <w:qFormat/>
    <w:rsid w:val="00016FE3"/>
    <w:rPr>
      <w:b/>
      <w:i/>
      <w:sz w:val="24"/>
      <w:szCs w:val="24"/>
      <w:u w:val="single"/>
    </w:rPr>
  </w:style>
  <w:style w:type="character" w:styleId="HafifBavuru">
    <w:name w:val="Subtle Reference"/>
    <w:basedOn w:val="VarsaylanParagrafYazTipi"/>
    <w:uiPriority w:val="31"/>
    <w:qFormat/>
    <w:rsid w:val="00016FE3"/>
    <w:rPr>
      <w:sz w:val="24"/>
      <w:szCs w:val="24"/>
      <w:u w:val="single"/>
    </w:rPr>
  </w:style>
  <w:style w:type="character" w:styleId="GlBavuru">
    <w:name w:val="Intense Reference"/>
    <w:basedOn w:val="VarsaylanParagrafYazTipi"/>
    <w:uiPriority w:val="32"/>
    <w:qFormat/>
    <w:rsid w:val="00016FE3"/>
    <w:rPr>
      <w:b/>
      <w:sz w:val="24"/>
      <w:u w:val="single"/>
    </w:rPr>
  </w:style>
  <w:style w:type="character" w:styleId="KitapBal">
    <w:name w:val="Book Title"/>
    <w:basedOn w:val="VarsaylanParagrafYazTipi"/>
    <w:uiPriority w:val="33"/>
    <w:qFormat/>
    <w:rsid w:val="00016FE3"/>
    <w:rPr>
      <w:rFonts w:asciiTheme="majorHAnsi" w:eastAsiaTheme="majorEastAsia" w:hAnsiTheme="majorHAnsi"/>
      <w:b/>
      <w:i/>
      <w:sz w:val="24"/>
      <w:szCs w:val="24"/>
    </w:rPr>
  </w:style>
  <w:style w:type="paragraph" w:styleId="TBal">
    <w:name w:val="TOC Heading"/>
    <w:basedOn w:val="Balk1"/>
    <w:next w:val="Normal"/>
    <w:uiPriority w:val="39"/>
    <w:semiHidden/>
    <w:unhideWhenUsed/>
    <w:qFormat/>
    <w:rsid w:val="00016FE3"/>
    <w:pPr>
      <w:outlineLvl w:val="9"/>
    </w:pPr>
  </w:style>
  <w:style w:type="paragraph" w:styleId="DipnotMetni">
    <w:name w:val="footnote text"/>
    <w:basedOn w:val="Normal"/>
    <w:link w:val="DipnotMetniChar"/>
    <w:uiPriority w:val="99"/>
    <w:semiHidden/>
    <w:unhideWhenUsed/>
    <w:rsid w:val="00F666EE"/>
    <w:rPr>
      <w:sz w:val="20"/>
      <w:szCs w:val="20"/>
    </w:rPr>
  </w:style>
  <w:style w:type="character" w:customStyle="1" w:styleId="DipnotMetniChar">
    <w:name w:val="Dipnot Metni Char"/>
    <w:basedOn w:val="VarsaylanParagrafYazTipi"/>
    <w:link w:val="DipnotMetni"/>
    <w:uiPriority w:val="99"/>
    <w:semiHidden/>
    <w:rsid w:val="00F666EE"/>
    <w:rPr>
      <w:sz w:val="20"/>
      <w:szCs w:val="20"/>
    </w:rPr>
  </w:style>
  <w:style w:type="character" w:styleId="DipnotBavurusu">
    <w:name w:val="footnote reference"/>
    <w:basedOn w:val="VarsaylanParagrafYazTipi"/>
    <w:uiPriority w:val="99"/>
    <w:semiHidden/>
    <w:unhideWhenUsed/>
    <w:rsid w:val="00F666EE"/>
    <w:rPr>
      <w:vertAlign w:val="superscript"/>
    </w:rPr>
  </w:style>
  <w:style w:type="table" w:styleId="TabloKlavuzu">
    <w:name w:val="Table Grid"/>
    <w:basedOn w:val="NormalTablo"/>
    <w:rsid w:val="00F666EE"/>
    <w:pPr>
      <w:suppressAutoHyphens/>
      <w:spacing w:line="240" w:lineRule="atLeast"/>
    </w:pPr>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stBilgi">
    <w:name w:val="header"/>
    <w:aliases w:val="6_G"/>
    <w:basedOn w:val="Normal"/>
    <w:link w:val="stBilgiChar"/>
    <w:uiPriority w:val="99"/>
    <w:rsid w:val="00C26484"/>
    <w:pPr>
      <w:pBdr>
        <w:bottom w:val="single" w:sz="4" w:space="4" w:color="auto"/>
      </w:pBdr>
      <w:suppressAutoHyphens/>
    </w:pPr>
    <w:rPr>
      <w:rFonts w:ascii="Times New Roman" w:eastAsia="Times New Roman" w:hAnsi="Times New Roman"/>
      <w:b/>
      <w:sz w:val="18"/>
      <w:szCs w:val="20"/>
      <w:lang w:val="en-GB"/>
    </w:rPr>
  </w:style>
  <w:style w:type="character" w:customStyle="1" w:styleId="stBilgiChar">
    <w:name w:val="Üst Bilgi Char"/>
    <w:aliases w:val="6_G Char"/>
    <w:basedOn w:val="VarsaylanParagrafYazTipi"/>
    <w:link w:val="stBilgi"/>
    <w:uiPriority w:val="99"/>
    <w:rsid w:val="00C26484"/>
    <w:rPr>
      <w:rFonts w:ascii="Times New Roman" w:eastAsia="Times New Roman" w:hAnsi="Times New Roman"/>
      <w:b/>
      <w:sz w:val="18"/>
      <w:szCs w:val="20"/>
      <w:lang w:val="en-GB"/>
    </w:rPr>
  </w:style>
  <w:style w:type="paragraph" w:styleId="AltBilgi">
    <w:name w:val="footer"/>
    <w:basedOn w:val="Normal"/>
    <w:link w:val="AltBilgiChar"/>
    <w:uiPriority w:val="99"/>
    <w:unhideWhenUsed/>
    <w:rsid w:val="00896F27"/>
    <w:pPr>
      <w:tabs>
        <w:tab w:val="center" w:pos="4703"/>
        <w:tab w:val="right" w:pos="9406"/>
      </w:tabs>
    </w:pPr>
  </w:style>
  <w:style w:type="character" w:customStyle="1" w:styleId="AltBilgiChar">
    <w:name w:val="Alt Bilgi Char"/>
    <w:basedOn w:val="VarsaylanParagrafYazTipi"/>
    <w:link w:val="AltBilgi"/>
    <w:uiPriority w:val="99"/>
    <w:rsid w:val="00896F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453B-B7C2-43EB-BFDB-7CE58A38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6796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Habibe Feray Salman</dc:creator>
  <cp:keywords/>
  <dc:description/>
  <cp:lastModifiedBy>Habibe Feray Salman</cp:lastModifiedBy>
  <cp:revision>4</cp:revision>
  <dcterms:created xsi:type="dcterms:W3CDTF">2023-09-04T12:25:00Z</dcterms:created>
  <dcterms:modified xsi:type="dcterms:W3CDTF">2023-09-04T12:56:00Z</dcterms:modified>
</cp:coreProperties>
</file>